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
        <w:rPr>
          <w:b/>
          <w:color w:val="CC0000"/>
          <w:sz w:val="18"/>
        </w:rPr>
        <w:t xml:space="preserve">ОБРАЗЕЦ. Документ сгенерирован на основе демо-данных. Требует заполнения и проверки специалистом перед использованием.</w:t>
      </w:r>
    </w:p>
    <w:p>
      <w:pPr>
        <w:spacing w:before="60" w:after="60"/>
        <w:jc w:val="center"/>
      </w:pPr>
      <w:r>
        <w:rPr>
          <w:rFonts w:ascii="Times New Roman" w:hAnsi="Times New Roman"/>
          <w:b/>
          <w:i w:val="0"/>
          <w:sz w:val="24"/>
          <w:u w:val="single"/>
        </w:rPr>
        <w:t xml:space="preserve">ОБЩЕСТВО С ОГРАНИЧЕННОЙ ОТВЕТСТВЕННОСТЬЮ «ПРИМЕР-ГАЗ»</w:t>
      </w:r>
    </w:p>
    <w:p>
      <w:pPr>
        <w:spacing w:before="60" w:after="60"/>
        <w:jc w:val="center"/>
      </w:pPr>
      <w:r>
        <w:rPr>
          <w:rFonts w:ascii="Times New Roman" w:hAnsi="Times New Roman"/>
          <w:b w:val="0"/>
          <w:i w:val="0"/>
          <w:sz w:val="22"/>
          <w:u w:val="none"/>
        </w:rPr>
        <w:t xml:space="preserve">ООО «Пример-Газ»</w:t>
      </w:r>
    </w:p>
    <w:p>
      <w:pPr>
        <w:spacing w:before="0" w:after="0"/>
      </w:pPr>
    </w:p>
    <w:p>
      <w:pPr>
        <w:spacing w:before="0" w:after="0"/>
      </w:pPr>
    </w:p>
    <w:p>
      <w:pPr>
        <w:spacing w:before="0" w:after="0"/>
      </w:pPr>
    </w:p>
    <w:tbl>
      <w:tblPr>
        <w:tblW w:type="auto" w:w="0"/>
        <w:jc w:val="center"/>
        <w:tblLook w:firstColumn="1" w:firstRow="1" w:lastColumn="0" w:lastRow="0" w:noHBand="0" w:noVBand="1" w:val="04A0"/>
      </w:tblPr>
      <w:tblGrid>
        <w:gridCol w:w="4606"/>
        <w:gridCol w:w="4606"/>
      </w:tblGrid>
      <w:tr>
        <w:tc>
          <w:tcPr>
            <w:tcW w:type="dxa" w:w="4606"/>
            <w:tcBorders>
              <w:top w:val="none" w:sz="0" w:space="0" w:color="FFFFFF"/>
              <w:left w:val="none" w:sz="0" w:space="0" w:color="FFFFFF"/>
              <w:bottom w:val="none" w:sz="0" w:space="0" w:color="FFFFFF"/>
              <w:right w:val="none" w:sz="0" w:space="0" w:color="FFFFFF"/>
            </w:tcBorders>
          </w:tcPr>
          <w:p>
            <w:r/>
            <w:r>
              <w:rPr>
                <w:rFonts w:ascii="Times New Roman" w:hAnsi="Times New Roman"/>
                <w:b/>
                <w:i w:val="0"/>
                <w:sz w:val="24"/>
                <w:u w:val="none"/>
              </w:rPr>
              <w:t>СОГЛАСОВАНО</w:t>
            </w:r>
          </w:p>
          <w:p>
            <w:r>
              <w:rPr>
                <w:rFonts w:ascii="Times New Roman" w:hAnsi="Times New Roman"/>
                <w:b w:val="0"/>
                <w:i/>
                <w:sz w:val="24"/>
                <w:u w:val="none"/>
              </w:rPr>
              <w:t>Ответственный за ПК ОРПД</w:t>
            </w:r>
          </w:p>
          <w:p>
            <w:r>
              <w:rPr>
                <w:rFonts w:ascii="Times New Roman" w:hAnsi="Times New Roman"/>
                <w:b w:val="0"/>
                <w:i w:val="0"/>
                <w:sz w:val="24"/>
                <w:u w:val="none"/>
              </w:rPr>
            </w:r>
          </w:p>
          <w:p>
            <w:r>
              <w:rPr>
                <w:rFonts w:ascii="Times New Roman" w:hAnsi="Times New Roman"/>
                <w:b w:val="0"/>
                <w:i w:val="0"/>
                <w:sz w:val="24"/>
                <w:u w:val="none"/>
              </w:rPr>
              <w:t>________________________________</w:t>
            </w:r>
          </w:p>
          <w:p>
            <w:r>
              <w:rPr>
                <w:rFonts w:ascii="Times New Roman" w:hAnsi="Times New Roman"/>
                <w:b w:val="0"/>
                <w:i/>
                <w:sz w:val="24"/>
                <w:u w:val="none"/>
              </w:rPr>
              <w:t>(подпись, дата)</w:t>
            </w:r>
          </w:p>
          <w:p>
            <w:r>
              <w:rPr>
                <w:rFonts w:ascii="Times New Roman" w:hAnsi="Times New Roman"/>
                <w:b/>
                <w:i w:val="0"/>
                <w:sz w:val="24"/>
                <w:u w:val="none"/>
              </w:rPr>
              <w:t xml:space="preserve">И.И. Иванов</w:t>
            </w:r>
          </w:p>
          <w:p>
            <w:r>
              <w:rPr>
                <w:rFonts w:ascii="Times New Roman" w:hAnsi="Times New Roman"/>
                <w:b w:val="0"/>
                <w:i/>
                <w:sz w:val="24"/>
                <w:u w:val="none"/>
              </w:rPr>
              <w:t>(ФИО)</w:t>
            </w:r>
          </w:p>
          <w:p>
            <w:r>
              <w:rPr>
                <w:rFonts w:ascii="Times New Roman" w:hAnsi="Times New Roman"/>
                <w:b w:val="0"/>
                <w:i w:val="0"/>
                <w:sz w:val="24"/>
                <w:u w:val="none"/>
              </w:rPr>
              <w:t>«____» ____________ 20___ г.</w:t>
            </w:r>
          </w:p>
        </w:tc>
        <w:tc>
          <w:tcPr>
            <w:tcW w:type="dxa" w:w="4606"/>
            <w:tcBorders>
              <w:top w:val="none" w:sz="0" w:space="0" w:color="FFFFFF"/>
              <w:left w:val="none" w:sz="0" w:space="0" w:color="FFFFFF"/>
              <w:bottom w:val="none" w:sz="0" w:space="0" w:color="FFFFFF"/>
              <w:right w:val="none" w:sz="0" w:space="0" w:color="FFFFFF"/>
            </w:tcBorders>
          </w:tcPr>
          <w:p>
            <w:r/>
            <w:r>
              <w:rPr>
                <w:rFonts w:ascii="Times New Roman" w:hAnsi="Times New Roman"/>
                <w:b/>
                <w:i w:val="0"/>
                <w:sz w:val="24"/>
                <w:u w:val="none"/>
              </w:rPr>
              <w:t>УТВЕРЖДАЮ</w:t>
            </w:r>
          </w:p>
          <w:p>
            <w:r>
              <w:rPr>
                <w:rFonts w:ascii="Times New Roman" w:hAnsi="Times New Roman"/>
                <w:b w:val="0"/>
                <w:i/>
                <w:sz w:val="24"/>
                <w:u w:val="none"/>
              </w:rPr>
              <w:t xml:space="preserve">Директор ООО «Пример-Газ»</w:t>
            </w:r>
          </w:p>
          <w:p>
            <w:r>
              <w:rPr>
                <w:rFonts w:ascii="Times New Roman" w:hAnsi="Times New Roman"/>
                <w:b w:val="0"/>
                <w:i w:val="0"/>
                <w:sz w:val="24"/>
                <w:u w:val="none"/>
              </w:rPr>
            </w:r>
          </w:p>
          <w:p>
            <w:r>
              <w:rPr>
                <w:rFonts w:ascii="Times New Roman" w:hAnsi="Times New Roman"/>
                <w:b w:val="0"/>
                <w:i w:val="0"/>
                <w:sz w:val="24"/>
                <w:u w:val="none"/>
              </w:rPr>
              <w:t>________________________________</w:t>
            </w:r>
          </w:p>
          <w:p>
            <w:r>
              <w:rPr>
                <w:rFonts w:ascii="Times New Roman" w:hAnsi="Times New Roman"/>
                <w:b w:val="0"/>
                <w:i/>
                <w:sz w:val="24"/>
                <w:u w:val="none"/>
              </w:rPr>
              <w:t>(подпись, дата)</w:t>
            </w:r>
          </w:p>
          <w:p>
            <w:r>
              <w:rPr>
                <w:rFonts w:ascii="Times New Roman" w:hAnsi="Times New Roman"/>
                <w:b/>
                <w:i w:val="0"/>
                <w:sz w:val="24"/>
                <w:u w:val="none"/>
              </w:rPr>
              <w:t xml:space="preserve">Д.Д. Демидов</w:t>
            </w:r>
          </w:p>
          <w:p>
            <w:r>
              <w:rPr>
                <w:rFonts w:ascii="Times New Roman" w:hAnsi="Times New Roman"/>
                <w:b w:val="0"/>
                <w:i/>
                <w:sz w:val="24"/>
                <w:u w:val="none"/>
              </w:rPr>
              <w:t>(ФИО)</w:t>
            </w:r>
          </w:p>
          <w:p>
            <w:r>
              <w:rPr>
                <w:rFonts w:ascii="Times New Roman" w:hAnsi="Times New Roman"/>
                <w:b w:val="0"/>
                <w:i w:val="0"/>
                <w:sz w:val="24"/>
                <w:u w:val="none"/>
              </w:rPr>
              <w:t>«____» ____________ 20___ г.</w:t>
            </w:r>
          </w:p>
        </w:tc>
      </w:tr>
    </w:tbl>
    <w:p>
      <w:pPr>
        <w:spacing w:before="0" w:after="0"/>
      </w:pPr>
    </w:p>
    <w:p>
      <w:pPr>
        <w:spacing w:before="0" w:after="0"/>
      </w:pPr>
    </w:p>
    <w:p>
      <w:pPr>
        <w:spacing w:before="0" w:after="0"/>
      </w:pPr>
    </w:p>
    <w:p>
      <w:pPr>
        <w:spacing w:before="120" w:after="120"/>
        <w:jc w:val="center"/>
      </w:pPr>
      <w:r>
        <w:rPr>
          <w:rFonts w:ascii="Times New Roman" w:hAnsi="Times New Roman"/>
          <w:b/>
          <w:i w:val="0"/>
          <w:sz w:val="32"/>
          <w:u w:val="none"/>
        </w:rPr>
        <w:t>ИНСТРУКЦИЯ</w:t>
      </w:r>
    </w:p>
    <w:p>
      <w:pPr>
        <w:spacing w:before="60" w:after="60"/>
        <w:jc w:val="center"/>
      </w:pPr>
      <w:r>
        <w:rPr>
          <w:rFonts w:ascii="Times New Roman" w:hAnsi="Times New Roman"/>
          <w:b/>
          <w:i w:val="0"/>
          <w:sz w:val="28"/>
          <w:u w:val="none"/>
        </w:rPr>
        <w:t>по ликвидации аварийных ситуаций</w:t>
      </w:r>
    </w:p>
    <w:p>
      <w:pPr>
        <w:spacing w:before="60" w:after="60"/>
        <w:jc w:val="center"/>
      </w:pPr>
      <w:r>
        <w:rPr>
          <w:rFonts w:ascii="Times New Roman" w:hAnsi="Times New Roman"/>
          <w:b/>
          <w:i w:val="0"/>
          <w:sz w:val="28"/>
          <w:u w:val="none"/>
        </w:rPr>
        <w:t>на кислородном оборудовании</w:t>
      </w:r>
    </w:p>
    <w:p>
      <w:pPr>
        <w:spacing w:before="60" w:after="60"/>
        <w:jc w:val="center"/>
      </w:pPr>
      <w:r>
        <w:rPr>
          <w:rFonts w:ascii="Times New Roman" w:hAnsi="Times New Roman"/>
          <w:b/>
          <w:i w:val="0"/>
          <w:sz w:val="28"/>
          <w:u w:val="none"/>
        </w:rPr>
        <w:t>опасного производственного объекта</w:t>
      </w:r>
    </w:p>
    <w:p>
      <w:pPr>
        <w:spacing w:before="60" w:after="60"/>
        <w:jc w:val="center"/>
      </w:pPr>
      <w:r>
        <w:rPr>
          <w:rFonts w:ascii="Times New Roman" w:hAnsi="Times New Roman"/>
          <w:b/>
          <w:i w:val="0"/>
          <w:sz w:val="26"/>
          <w:u w:val="none"/>
        </w:rPr>
        <w:t xml:space="preserve">Участок ГНС «Демо»</w:t>
      </w:r>
    </w:p>
    <w:p>
      <w:pPr>
        <w:spacing w:before="0" w:after="0"/>
      </w:pPr>
    </w:p>
    <w:p>
      <w:pPr>
        <w:spacing w:before="0" w:after="0"/>
      </w:pPr>
    </w:p>
    <w:p>
      <w:pPr>
        <w:spacing w:before="60" w:after="60"/>
        <w:jc w:val="center"/>
      </w:pPr>
      <w:r>
        <w:rPr>
          <w:rFonts w:ascii="Times New Roman" w:hAnsi="Times New Roman"/>
          <w:b w:val="0"/>
          <w:i w:val="0"/>
          <w:sz w:val="22"/>
          <w:u w:val="none"/>
        </w:rPr>
        <w:t>Номер документа: ИАС-ОПО-001</w:t>
      </w:r>
    </w:p>
    <w:p>
      <w:pPr>
        <w:spacing w:before="60" w:after="60"/>
        <w:jc w:val="center"/>
      </w:pPr>
      <w:r>
        <w:rPr>
          <w:rFonts w:ascii="Times New Roman" w:hAnsi="Times New Roman"/>
          <w:b w:val="0"/>
          <w:i w:val="0"/>
          <w:sz w:val="22"/>
          <w:u w:val="none"/>
        </w:rPr>
        <w:t>Версия: 1.0</w:t>
      </w:r>
    </w:p>
    <w:p>
      <w:pPr>
        <w:spacing w:before="60" w:after="60"/>
        <w:jc w:val="center"/>
      </w:pPr>
      <w:r>
        <w:rPr>
          <w:rFonts w:ascii="Times New Roman" w:hAnsi="Times New Roman"/>
          <w:b w:val="0"/>
          <w:i w:val="0"/>
          <w:sz w:val="22"/>
          <w:u w:val="none"/>
        </w:rPr>
        <w:t>Дата введения в действие: «____» ____________ 20___ г.</w:t>
      </w:r>
    </w:p>
    <w:p>
      <w:pPr>
        <w:spacing w:before="0" w:after="0"/>
      </w:pPr>
    </w:p>
    <w:p>
      <w:pPr>
        <w:jc w:val="center"/>
      </w:pPr>
      <w:r>
        <w:rPr>
          <w:rFonts w:ascii="Times New Roman" w:hAnsi="Times New Roman"/>
          <w:b w:val="0"/>
          <w:i/>
          <w:sz w:val="20"/>
          <w:u w:val="none"/>
        </w:rPr>
        <w:t>Разработана в соответствии с ФНП ОРПД (Приказ Ростехнадзора от 15.12.2020 № 536), Федеральным законом от 21.07.1997 № 116-ФЗ «О промышленной безопасности опасных производственных объектов», практическим опытом эксплуатации оборудования</w:t>
      </w:r>
    </w:p>
    <w:p>
      <w:r>
        <w:br w:type="page"/>
      </w:r>
    </w:p>
    <w:p>
      <w:pPr>
        <w:spacing w:before="240" w:after="120"/>
        <w:jc w:val="center"/>
      </w:pPr>
      <w:r>
        <w:rPr>
          <w:rFonts w:ascii="Times New Roman" w:hAnsi="Times New Roman"/>
          <w:b/>
          <w:i w:val="0"/>
          <w:sz w:val="24"/>
          <w:u w:val="none"/>
        </w:rPr>
        <w:t>1. Общие положения</w:t>
      </w:r>
    </w:p>
    <w:p>
      <w:pPr>
        <w:spacing w:before="40" w:after="40"/>
        <w:ind w:firstLine="709"/>
        <w:jc w:val="both"/>
      </w:pPr>
      <w:r>
        <w:rPr>
          <w:rFonts w:ascii="Times New Roman" w:hAnsi="Times New Roman"/>
          <w:b w:val="0"/>
          <w:i w:val="0"/>
          <w:sz w:val="24"/>
          <w:u w:val="none"/>
        </w:rPr>
        <w:t xml:space="preserve">1.1. Настоящая инструкция определяет общий порядок действий технического обслуживающего персонала (аппаратчиков) при ликвидации возможных аварийных ситуаций на кислородном оборудовании опасного производственного объекта Участок ГНС «Демо», расположенного по адресу: г. Москва, ул. Демонстрационная, д. 1, стр. 2.</w:t>
      </w:r>
    </w:p>
    <w:p>
      <w:pPr>
        <w:spacing w:before="40" w:after="40"/>
        <w:ind w:firstLine="709"/>
        <w:jc w:val="both"/>
      </w:pPr>
      <w:r>
        <w:rPr>
          <w:rFonts w:ascii="Times New Roman" w:hAnsi="Times New Roman"/>
          <w:b w:val="0"/>
          <w:i w:val="0"/>
          <w:sz w:val="24"/>
          <w:u w:val="none"/>
        </w:rPr>
        <w:t>1.2. Кислородным оборудованием являются: _______________________________________________.</w:t>
      </w:r>
    </w:p>
    <w:p>
      <w:pPr>
        <w:spacing w:before="40" w:after="40"/>
        <w:ind w:firstLine="709"/>
        <w:jc w:val="both"/>
      </w:pPr>
      <w:r>
        <w:rPr>
          <w:rFonts w:ascii="Times New Roman" w:hAnsi="Times New Roman"/>
          <w:b w:val="0"/>
          <w:i w:val="0"/>
          <w:sz w:val="24"/>
          <w:u w:val="none"/>
        </w:rPr>
        <w:t xml:space="preserve">1.3. Перечень аварийных ситуаций определён на основе требований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от 15.12.2020 № 536) и практического опыта эксплуатации оборудования в условиях работы Участок ГНС «Демо».</w:t>
      </w:r>
    </w:p>
    <w:p>
      <w:pPr>
        <w:spacing w:before="40" w:after="40"/>
        <w:ind w:firstLine="709"/>
        <w:jc w:val="both"/>
      </w:pPr>
      <w:r>
        <w:rPr>
          <w:rFonts w:ascii="Times New Roman" w:hAnsi="Times New Roman"/>
          <w:b w:val="0"/>
          <w:i w:val="0"/>
          <w:sz w:val="24"/>
          <w:u w:val="none"/>
        </w:rPr>
        <w:t>1.4. Настоящая инструкция является приложением к инструкции по режиму работы и эксплуатации оборудования ОПО.</w:t>
      </w:r>
    </w:p>
    <w:p>
      <w:pPr>
        <w:spacing w:before="240" w:after="120"/>
        <w:jc w:val="center"/>
      </w:pPr>
      <w:r>
        <w:rPr>
          <w:rFonts w:ascii="Times New Roman" w:hAnsi="Times New Roman"/>
          <w:b/>
          <w:i w:val="0"/>
          <w:sz w:val="24"/>
          <w:u w:val="none"/>
        </w:rPr>
        <w:t>2. Перечень возможных аварийных ситуаций</w:t>
      </w:r>
    </w:p>
    <w:p>
      <w:pPr>
        <w:spacing w:before="40" w:after="40"/>
        <w:ind w:firstLine="709"/>
        <w:jc w:val="both"/>
      </w:pPr>
      <w:r>
        <w:rPr>
          <w:rFonts w:ascii="Times New Roman" w:hAnsi="Times New Roman"/>
          <w:b w:val="0"/>
          <w:i w:val="0"/>
          <w:sz w:val="24"/>
          <w:u w:val="none"/>
        </w:rPr>
        <w:t>Аварийными ситуациями по условиям бесперебойной и безаварийной работы оборудования являются:</w:t>
      </w:r>
    </w:p>
    <w:p>
      <w:pPr>
        <w:spacing w:before="40" w:after="40"/>
        <w:ind w:firstLine="709"/>
        <w:jc w:val="both"/>
      </w:pPr>
      <w:r>
        <w:rPr>
          <w:rFonts w:ascii="Times New Roman" w:hAnsi="Times New Roman"/>
          <w:b w:val="0"/>
          <w:i w:val="0"/>
          <w:sz w:val="24"/>
          <w:u w:val="none"/>
        </w:rPr>
        <w:t>2.1. Выход из строя предохранительных клапанов.</w:t>
      </w:r>
    </w:p>
    <w:p>
      <w:pPr>
        <w:spacing w:before="40" w:after="40"/>
        <w:ind w:firstLine="709"/>
        <w:jc w:val="both"/>
      </w:pPr>
      <w:r>
        <w:rPr>
          <w:rFonts w:ascii="Times New Roman" w:hAnsi="Times New Roman"/>
          <w:b w:val="0"/>
          <w:i w:val="0"/>
          <w:sz w:val="24"/>
          <w:u w:val="none"/>
        </w:rPr>
        <w:t>2.2. Срабатывание предохранительного клапана.</w:t>
      </w:r>
    </w:p>
    <w:p>
      <w:pPr>
        <w:spacing w:before="40" w:after="40"/>
        <w:ind w:firstLine="709"/>
        <w:jc w:val="both"/>
      </w:pPr>
      <w:r>
        <w:rPr>
          <w:rFonts w:ascii="Times New Roman" w:hAnsi="Times New Roman"/>
          <w:b w:val="0"/>
          <w:i w:val="0"/>
          <w:sz w:val="24"/>
          <w:u w:val="none"/>
        </w:rPr>
        <w:t>2.3. Повышение давления в сосуде свыше установленного рабочего значения.</w:t>
      </w:r>
    </w:p>
    <w:p>
      <w:pPr>
        <w:spacing w:before="40" w:after="40"/>
        <w:ind w:firstLine="709"/>
        <w:jc w:val="both"/>
      </w:pPr>
      <w:r>
        <w:rPr>
          <w:rFonts w:ascii="Times New Roman" w:hAnsi="Times New Roman"/>
          <w:b w:val="0"/>
          <w:i w:val="0"/>
          <w:sz w:val="24"/>
          <w:u w:val="none"/>
        </w:rPr>
        <w:t>2.4. Неисправность манометра на оборудовании.</w:t>
      </w:r>
    </w:p>
    <w:p>
      <w:pPr>
        <w:spacing w:before="40" w:after="40"/>
        <w:ind w:firstLine="709"/>
        <w:jc w:val="both"/>
      </w:pPr>
      <w:r>
        <w:rPr>
          <w:rFonts w:ascii="Times New Roman" w:hAnsi="Times New Roman"/>
          <w:b w:val="0"/>
          <w:i w:val="0"/>
          <w:sz w:val="24"/>
          <w:u w:val="none"/>
        </w:rPr>
        <w:t>2.5. Выход из строя уровнемера.</w:t>
      </w:r>
    </w:p>
    <w:p>
      <w:pPr>
        <w:spacing w:before="40" w:after="40"/>
        <w:ind w:firstLine="709"/>
        <w:jc w:val="both"/>
      </w:pPr>
      <w:r>
        <w:rPr>
          <w:rFonts w:ascii="Times New Roman" w:hAnsi="Times New Roman"/>
          <w:b w:val="0"/>
          <w:i w:val="0"/>
          <w:sz w:val="24"/>
          <w:u w:val="none"/>
        </w:rPr>
        <w:t>2.6. Резкая разгерметизация теплоизоляционной полости оборудования.</w:t>
      </w:r>
    </w:p>
    <w:p>
      <w:pPr>
        <w:spacing w:before="40" w:after="40"/>
        <w:ind w:firstLine="709"/>
        <w:jc w:val="both"/>
      </w:pPr>
      <w:r>
        <w:rPr>
          <w:rFonts w:ascii="Times New Roman" w:hAnsi="Times New Roman"/>
          <w:b w:val="0"/>
          <w:i w:val="0"/>
          <w:sz w:val="24"/>
          <w:u w:val="none"/>
        </w:rPr>
        <w:t>2.7. Обнаружение неплотностей, выпучин, разрывов прокладок и уплотнений в элементах, подходящих к сосуду.</w:t>
      </w:r>
    </w:p>
    <w:p>
      <w:pPr>
        <w:spacing w:before="40" w:after="40"/>
        <w:ind w:firstLine="709"/>
        <w:jc w:val="both"/>
      </w:pPr>
      <w:r>
        <w:rPr>
          <w:rFonts w:ascii="Times New Roman" w:hAnsi="Times New Roman"/>
          <w:b w:val="0"/>
          <w:i w:val="0"/>
          <w:sz w:val="24"/>
          <w:u w:val="none"/>
        </w:rPr>
        <w:t>2.8. Сильная утечка кислорода из любого соединения на арматуре сосуда или трубопровода.</w:t>
      </w:r>
    </w:p>
    <w:p>
      <w:pPr>
        <w:spacing w:before="40" w:after="40"/>
        <w:ind w:firstLine="709"/>
        <w:jc w:val="both"/>
      </w:pPr>
      <w:r>
        <w:rPr>
          <w:rFonts w:ascii="Times New Roman" w:hAnsi="Times New Roman"/>
          <w:b w:val="0"/>
          <w:i w:val="0"/>
          <w:sz w:val="24"/>
          <w:u w:val="none"/>
        </w:rPr>
        <w:t>2.9. Большая утечка на трубопроводе линии потребления.</w:t>
      </w:r>
    </w:p>
    <w:p>
      <w:pPr>
        <w:spacing w:before="40" w:after="40"/>
        <w:ind w:firstLine="709"/>
        <w:jc w:val="both"/>
      </w:pPr>
      <w:r>
        <w:rPr>
          <w:rFonts w:ascii="Times New Roman" w:hAnsi="Times New Roman"/>
          <w:b w:val="0"/>
          <w:i w:val="0"/>
          <w:sz w:val="24"/>
          <w:u w:val="none"/>
        </w:rPr>
        <w:t>2.10. Возгорание трубопровода сети потребления.</w:t>
      </w:r>
    </w:p>
    <w:p>
      <w:pPr>
        <w:spacing w:before="40" w:after="40"/>
        <w:ind w:firstLine="709"/>
        <w:jc w:val="both"/>
      </w:pPr>
      <w:r>
        <w:rPr>
          <w:rFonts w:ascii="Times New Roman" w:hAnsi="Times New Roman"/>
          <w:b w:val="0"/>
          <w:i w:val="0"/>
          <w:sz w:val="24"/>
          <w:u w:val="none"/>
        </w:rPr>
        <w:t>2.11. Возгорание технологического оборудования.</w:t>
      </w:r>
    </w:p>
    <w:p>
      <w:pPr>
        <w:spacing w:before="40" w:after="40"/>
        <w:ind w:firstLine="709"/>
        <w:jc w:val="both"/>
      </w:pPr>
      <w:r>
        <w:rPr>
          <w:rFonts w:ascii="Times New Roman" w:hAnsi="Times New Roman"/>
          <w:b w:val="0"/>
          <w:i w:val="0"/>
          <w:sz w:val="24"/>
          <w:u w:val="none"/>
        </w:rPr>
        <w:t>2.12. Возникновение на территории ОПО или в непосредственной близости пожара, угрожающего сосудам.</w:t>
      </w:r>
    </w:p>
    <w:p>
      <w:pPr>
        <w:spacing w:before="40" w:after="40"/>
        <w:ind w:firstLine="709"/>
        <w:jc w:val="both"/>
      </w:pPr>
      <w:r>
        <w:rPr>
          <w:rFonts w:ascii="Times New Roman" w:hAnsi="Times New Roman"/>
          <w:b w:val="0"/>
          <w:i w:val="0"/>
          <w:sz w:val="24"/>
          <w:u w:val="none"/>
        </w:rPr>
        <w:t>2.13. Разливы большого количества жидкого кислорода на площадке.</w:t>
      </w:r>
    </w:p>
    <w:p>
      <w:pPr>
        <w:spacing w:before="240" w:after="120"/>
        <w:jc w:val="center"/>
      </w:pPr>
      <w:r>
        <w:rPr>
          <w:rFonts w:ascii="Times New Roman" w:hAnsi="Times New Roman"/>
          <w:b/>
          <w:i w:val="0"/>
          <w:sz w:val="24"/>
          <w:u w:val="none"/>
        </w:rPr>
        <w:t>3. Порядок действий в аварийных ситуациях</w:t>
      </w:r>
    </w:p>
    <w:p>
      <w:pPr>
        <w:ind w:firstLine="709"/>
        <w:jc w:val="both"/>
      </w:pPr>
      <w:r>
        <w:rPr>
          <w:rFonts w:ascii="Times New Roman" w:hAnsi="Times New Roman"/>
          <w:b/>
          <w:i w:val="0"/>
          <w:sz w:val="24"/>
          <w:u w:val="none"/>
        </w:rPr>
        <w:t xml:space="preserve">Примечание: </w:t>
      </w:r>
      <w:r>
        <w:rPr>
          <w:rFonts w:ascii="Times New Roman" w:hAnsi="Times New Roman"/>
          <w:b w:val="0"/>
          <w:i/>
          <w:sz w:val="24"/>
          <w:u w:val="none"/>
        </w:rPr>
        <w:t>нумерация пунктов в этом разделе соответствует нумерации раздела 2, т.е. в аварийной ситуации 2.1 следует действовать согласно п. 3.1 и т.д.</w:t>
      </w:r>
    </w:p>
    <w:p>
      <w:pPr>
        <w:spacing w:before="40" w:after="40"/>
        <w:ind w:firstLine="709"/>
        <w:jc w:val="both"/>
      </w:pPr>
      <w:r>
        <w:rPr>
          <w:rFonts w:ascii="Times New Roman" w:hAnsi="Times New Roman"/>
          <w:b w:val="0"/>
          <w:i w:val="0"/>
          <w:sz w:val="24"/>
          <w:u w:val="none"/>
        </w:rPr>
        <w:t>3.1. Включить в работу резервное оборудование. На аварийном — закрыть запорную арматуру. Если клапан неисправен — сбросить давление, отремонтировать или заменить клапан. Для настройки клапана поднять давление до рабочего значения.</w:t>
      </w:r>
    </w:p>
    <w:p>
      <w:pPr>
        <w:spacing w:before="40" w:after="40"/>
        <w:ind w:firstLine="709"/>
        <w:jc w:val="both"/>
      </w:pPr>
      <w:r>
        <w:rPr>
          <w:rFonts w:ascii="Times New Roman" w:hAnsi="Times New Roman"/>
          <w:b w:val="0"/>
          <w:i w:val="0"/>
          <w:sz w:val="24"/>
          <w:u w:val="none"/>
        </w:rPr>
        <w:t>3.2. а) Проверить сохранность пломбировки клапана, не сбита ли его настройка. б) Перейти на подачу от резервного оборудования, выявить причину роста давления (нарушение вакуума, выход из строя регулятора), остановить аварийное оборудование, устранить неисправность.</w:t>
      </w:r>
    </w:p>
    <w:p>
      <w:pPr>
        <w:spacing w:before="40" w:after="40"/>
        <w:ind w:firstLine="709"/>
        <w:jc w:val="both"/>
      </w:pPr>
      <w:r>
        <w:rPr>
          <w:rFonts w:ascii="Times New Roman" w:hAnsi="Times New Roman"/>
          <w:b w:val="0"/>
          <w:i w:val="0"/>
          <w:sz w:val="24"/>
          <w:u w:val="none"/>
        </w:rPr>
        <w:t>3.3. Включить в работу резервное оборудование, закрыть запорную арматуру на аварийном. Выявить причину роста давления, а также причину несрабатывания предохранительных клапанов. После устранения неисправностей проверить срабатывание клапанов при рабочем давлении.</w:t>
      </w:r>
    </w:p>
    <w:p>
      <w:pPr>
        <w:spacing w:before="40" w:after="40"/>
        <w:ind w:firstLine="709"/>
        <w:jc w:val="both"/>
      </w:pPr>
      <w:r>
        <w:rPr>
          <w:rFonts w:ascii="Times New Roman" w:hAnsi="Times New Roman"/>
          <w:b w:val="0"/>
          <w:i w:val="0"/>
          <w:sz w:val="24"/>
          <w:u w:val="none"/>
        </w:rPr>
        <w:t>3.4. Перекрыть манометровый вентиль и заменить неисправный манометр на исправный поверенный. При отсутствии запасного — можно выработать сосуд до конца, снимая показания с манометра на магистральном трубопроводе.</w:t>
      </w:r>
    </w:p>
    <w:p>
      <w:pPr>
        <w:spacing w:before="40" w:after="40"/>
        <w:ind w:firstLine="709"/>
        <w:jc w:val="both"/>
      </w:pPr>
      <w:r>
        <w:rPr>
          <w:rFonts w:ascii="Times New Roman" w:hAnsi="Times New Roman"/>
          <w:b w:val="0"/>
          <w:i w:val="0"/>
          <w:sz w:val="24"/>
          <w:u w:val="none"/>
        </w:rPr>
        <w:t>3.5. Заменить неисправный прибор исправным, включая его в работу согласно заводской инструкции. При отсутствии запасного уровнемера — определять остаток на основе практического опыта.</w:t>
      </w:r>
    </w:p>
    <w:p>
      <w:pPr>
        <w:spacing w:before="40" w:after="40"/>
        <w:ind w:firstLine="709"/>
        <w:jc w:val="both"/>
      </w:pPr>
      <w:r>
        <w:rPr>
          <w:rFonts w:ascii="Times New Roman" w:hAnsi="Times New Roman"/>
          <w:b w:val="0"/>
          <w:i w:val="0"/>
          <w:sz w:val="24"/>
          <w:u w:val="none"/>
        </w:rPr>
        <w:t>3.6. Закрыть запорную арматуру, открыть газосброс, перейти на работу от резервного оборудования. Неисправное оборудование вакуумировать при помощи специалистов специализированной организации.</w:t>
      </w:r>
    </w:p>
    <w:p>
      <w:pPr>
        <w:spacing w:before="40" w:after="40"/>
        <w:ind w:firstLine="709"/>
        <w:jc w:val="both"/>
      </w:pPr>
      <w:r>
        <w:rPr>
          <w:rFonts w:ascii="Times New Roman" w:hAnsi="Times New Roman"/>
          <w:b w:val="0"/>
          <w:i w:val="0"/>
          <w:sz w:val="24"/>
          <w:u w:val="none"/>
        </w:rPr>
        <w:t>3.7. а) При выходе из строя продукционного испарителя — закрыть запорную арматуру, перейти на подачу от резервного оборудования. Отремонтировать или заменить испаритель. б) При выходе из строя испарителя подъёма давления — закрыть арматуру подъёма давления и регулятор. Перейти на резервное оборудование. Сбросить давление, отремонтировать или заменить испаритель.</w:t>
      </w:r>
    </w:p>
    <w:p>
      <w:pPr>
        <w:spacing w:before="40" w:after="40"/>
        <w:ind w:firstLine="709"/>
        <w:jc w:val="both"/>
      </w:pPr>
      <w:r>
        <w:rPr>
          <w:rFonts w:ascii="Times New Roman" w:hAnsi="Times New Roman"/>
          <w:b w:val="0"/>
          <w:i w:val="0"/>
          <w:sz w:val="24"/>
          <w:u w:val="none"/>
        </w:rPr>
        <w:t>3.8. При утечке на продукционной линии — действовать согласно п. 3.7 (а). При утечке на линии подъёма давления — согласно п. 3.7 (б). Утечки на заправочной и дренажных линиях не являются аварийными и устраняются в рабочем порядке. При ликвидации течи в швах — соблюдать правила безопасности при сварочных работах.</w:t>
      </w:r>
    </w:p>
    <w:p>
      <w:pPr>
        <w:spacing w:before="40" w:after="40"/>
        <w:ind w:firstLine="709"/>
        <w:jc w:val="both"/>
      </w:pPr>
      <w:r>
        <w:rPr>
          <w:rFonts w:ascii="Times New Roman" w:hAnsi="Times New Roman"/>
          <w:b w:val="0"/>
          <w:i w:val="0"/>
          <w:sz w:val="24"/>
          <w:u w:val="none"/>
        </w:rPr>
        <w:t>3.9. Перекрыть подачу кислорода ближайшим по ходу трубопровода вентилем, затем устранить утечку (перед сваркой или пайкой вначале освободить трубу от кислорода).</w:t>
      </w:r>
    </w:p>
    <w:p>
      <w:pPr>
        <w:spacing w:before="40" w:after="40"/>
        <w:ind w:firstLine="709"/>
        <w:jc w:val="both"/>
      </w:pPr>
      <w:r>
        <w:rPr>
          <w:rFonts w:ascii="Times New Roman" w:hAnsi="Times New Roman"/>
          <w:b w:val="0"/>
          <w:i w:val="0"/>
          <w:sz w:val="24"/>
          <w:u w:val="none"/>
        </w:rPr>
        <w:t>3.10. Быстро перекрыть подачу кислорода к месту горения ближайшим вентилем. Трубопровод, на котором произошло возгорание, быстро отстыковать от ближайшего вентиля. Если есть признаки натекания через закрытый вентиль — перекрыть все следующие вентили и открыть дренаж из кислородной сети. Горение прекращается, когда кислород в трубе будет израсходован или удалён.</w:t>
      </w:r>
    </w:p>
    <w:p>
      <w:pPr>
        <w:spacing w:before="40" w:after="40"/>
        <w:ind w:firstLine="709"/>
        <w:jc w:val="both"/>
      </w:pPr>
      <w:r>
        <w:rPr>
          <w:rFonts w:ascii="Times New Roman" w:hAnsi="Times New Roman"/>
          <w:b w:val="0"/>
          <w:i w:val="0"/>
          <w:sz w:val="24"/>
          <w:u w:val="none"/>
        </w:rPr>
        <w:t>3.11. Перекрыть всю запорную арматуру. Открыть газосброс. Сразу покинуть станцию и вызвать пожарную команду по телефону 101.</w:t>
      </w:r>
    </w:p>
    <w:p>
      <w:pPr>
        <w:spacing w:before="40" w:after="40"/>
        <w:ind w:firstLine="709"/>
        <w:jc w:val="both"/>
      </w:pPr>
      <w:r>
        <w:rPr>
          <w:rFonts w:ascii="Times New Roman" w:hAnsi="Times New Roman"/>
          <w:b w:val="0"/>
          <w:i w:val="0"/>
          <w:sz w:val="24"/>
          <w:u w:val="none"/>
        </w:rPr>
        <w:t>3.12. а) Если пожар небольшой — сразу потушить его огнетушителем или другими противопожарными средствами. б) Если пожаром охвачена большая часть территории — сообщить дежурному администратору, который обязан вызвать пожарную команду. После этого приступить к тушению пожара имеющимися средствами.</w:t>
      </w:r>
    </w:p>
    <w:p>
      <w:pPr>
        <w:spacing w:before="40" w:after="40"/>
        <w:ind w:firstLine="709"/>
        <w:jc w:val="both"/>
      </w:pPr>
      <w:r>
        <w:rPr>
          <w:rFonts w:ascii="Times New Roman" w:hAnsi="Times New Roman"/>
          <w:b w:val="0"/>
          <w:i w:val="0"/>
          <w:sz w:val="24"/>
          <w:u w:val="none"/>
        </w:rPr>
        <w:t>3.13. Перекрыть арматуру, если разлив происходит через неё, и выйти из зоны разлива жидкости, чтобы избежать воспламенения одежды и обморожений. Разлив кислорода по чистому бетону безопасен; контакт жидкости с асфальтом может вызвать возгорание. Ускорить испарение кислорода можно при помощи полива водой.</w:t>
      </w:r>
    </w:p>
    <w:p>
      <w:pPr>
        <w:spacing w:before="240" w:after="120"/>
        <w:jc w:val="center"/>
      </w:pPr>
      <w:r>
        <w:rPr>
          <w:rFonts w:ascii="Times New Roman" w:hAnsi="Times New Roman"/>
          <w:b/>
          <w:i w:val="0"/>
          <w:sz w:val="24"/>
          <w:u w:val="none"/>
        </w:rPr>
        <w:t>4. Профилактика аварийных ситуаций</w:t>
      </w:r>
    </w:p>
    <w:p>
      <w:pPr>
        <w:spacing w:before="40" w:after="40"/>
        <w:ind w:firstLine="709"/>
        <w:jc w:val="both"/>
      </w:pPr>
      <w:r>
        <w:rPr>
          <w:rFonts w:ascii="Times New Roman" w:hAnsi="Times New Roman"/>
          <w:b w:val="0"/>
          <w:i w:val="0"/>
          <w:sz w:val="24"/>
          <w:u w:val="none"/>
        </w:rPr>
        <w:t>Для сведения к минимуму вероятности создания аварийных ситуаций необходимо уделять внимание следующим мерам:</w:t>
      </w:r>
    </w:p>
    <w:p>
      <w:pPr>
        <w:spacing w:before="40" w:after="40"/>
        <w:ind w:firstLine="709"/>
        <w:jc w:val="both"/>
      </w:pPr>
      <w:r>
        <w:rPr>
          <w:rFonts w:ascii="Times New Roman" w:hAnsi="Times New Roman"/>
          <w:b w:val="0"/>
          <w:i w:val="0"/>
          <w:sz w:val="24"/>
          <w:u w:val="none"/>
        </w:rPr>
        <w:t>4.1. Соблюдать установленные инструкциями правила техники безопасности и эксплуатации оборудования.</w:t>
      </w:r>
    </w:p>
    <w:p>
      <w:pPr>
        <w:spacing w:before="40" w:after="40"/>
        <w:ind w:firstLine="709"/>
        <w:jc w:val="both"/>
      </w:pPr>
      <w:r>
        <w:rPr>
          <w:rFonts w:ascii="Times New Roman" w:hAnsi="Times New Roman"/>
          <w:b w:val="0"/>
          <w:i w:val="0"/>
          <w:sz w:val="24"/>
          <w:u w:val="none"/>
        </w:rPr>
        <w:t>4.2. Регулярно проводить проверки знаний персонала, обучение и инструктаж на рабочем месте, противоаварийные тренировки.</w:t>
      </w:r>
    </w:p>
    <w:p>
      <w:pPr>
        <w:spacing w:before="40" w:after="40"/>
        <w:ind w:firstLine="709"/>
        <w:jc w:val="both"/>
      </w:pPr>
      <w:r>
        <w:rPr>
          <w:rFonts w:ascii="Times New Roman" w:hAnsi="Times New Roman"/>
          <w:b w:val="0"/>
          <w:i w:val="0"/>
          <w:sz w:val="24"/>
          <w:u w:val="none"/>
        </w:rPr>
        <w:t>4.3. Не допускать присутствия посторонних лиц на территории ОПО.</w:t>
      </w:r>
    </w:p>
    <w:p>
      <w:pPr>
        <w:spacing w:before="40" w:after="40"/>
        <w:ind w:firstLine="709"/>
        <w:jc w:val="both"/>
      </w:pPr>
      <w:r>
        <w:rPr>
          <w:rFonts w:ascii="Times New Roman" w:hAnsi="Times New Roman"/>
          <w:b w:val="0"/>
          <w:i w:val="0"/>
          <w:sz w:val="24"/>
          <w:u w:val="none"/>
        </w:rPr>
        <w:t>4.4. В необходимом объёме, своевременно и качественно проводить плановые ремонтно-профилактические работы в соответствии с графиком ППР, а также текущий ремонт.</w:t>
      </w:r>
    </w:p>
    <w:p>
      <w:pPr>
        <w:spacing w:before="240" w:after="120"/>
        <w:jc w:val="center"/>
      </w:pPr>
      <w:r>
        <w:rPr>
          <w:rFonts w:ascii="Times New Roman" w:hAnsi="Times New Roman"/>
          <w:b/>
          <w:i w:val="0"/>
          <w:sz w:val="24"/>
          <w:u w:val="none"/>
        </w:rPr>
        <w:t>5. Форс-мажорные обстоятельства</w:t>
      </w:r>
    </w:p>
    <w:p>
      <w:pPr>
        <w:spacing w:before="40" w:after="40"/>
        <w:ind w:firstLine="709"/>
        <w:jc w:val="both"/>
      </w:pPr>
      <w:r>
        <w:rPr>
          <w:rFonts w:ascii="Times New Roman" w:hAnsi="Times New Roman"/>
          <w:b w:val="0"/>
          <w:i w:val="0"/>
          <w:sz w:val="24"/>
          <w:u w:val="none"/>
        </w:rPr>
        <w:t xml:space="preserve">5.1. В случае возникновения агрессивных или подозрительных действий посторонних лиц в отношении дежурного аппаратчика или оборудования ОПО, оставления ими каких-либо предметов вблизи объекта — немедленно сообщить об этом охране по телефону: __________________ и ответственным сотрудникам ООО «Пример-Газ» по телефону: +7 (495) 000-00-00.</w:t>
      </w:r>
    </w:p>
    <w:p>
      <w:pPr>
        <w:spacing w:before="40" w:after="40"/>
        <w:ind w:firstLine="709"/>
        <w:jc w:val="both"/>
      </w:pPr>
      <w:r>
        <w:rPr>
          <w:rFonts w:ascii="Times New Roman" w:hAnsi="Times New Roman"/>
          <w:b w:val="0"/>
          <w:i w:val="0"/>
          <w:sz w:val="24"/>
          <w:u w:val="none"/>
        </w:rPr>
        <w:t>5.2. Если, по оценке ситуации, этого недостаточно для ликвидации угрозы объекту или персоналу, следует вызвать полицию по телефону 102.</w:t>
      </w:r>
    </w:p>
    <w:p>
      <w:pPr>
        <w:spacing w:before="40" w:after="40"/>
        <w:ind w:firstLine="709"/>
        <w:jc w:val="both"/>
      </w:pPr>
      <w:r>
        <w:rPr>
          <w:rFonts w:ascii="Times New Roman" w:hAnsi="Times New Roman"/>
          <w:b w:val="0"/>
          <w:i w:val="0"/>
          <w:sz w:val="24"/>
          <w:u w:val="none"/>
        </w:rPr>
        <w:t>5.3. Вызов пожарной команды МЧС по телефону 101.</w:t>
      </w:r>
    </w:p>
    <w:p>
      <w:pPr>
        <w:spacing w:before="240" w:after="120"/>
        <w:jc w:val="center"/>
      </w:pPr>
      <w:r>
        <w:rPr>
          <w:rFonts w:ascii="Times New Roman" w:hAnsi="Times New Roman"/>
          <w:b/>
          <w:i w:val="0"/>
          <w:sz w:val="24"/>
          <w:u w:val="none"/>
        </w:rPr>
        <w:t>6. Ответственность</w:t>
      </w:r>
    </w:p>
    <w:p>
      <w:pPr>
        <w:spacing w:before="40" w:after="40"/>
        <w:ind w:firstLine="709"/>
        <w:jc w:val="both"/>
      </w:pPr>
      <w:r>
        <w:rPr>
          <w:rFonts w:ascii="Times New Roman" w:hAnsi="Times New Roman"/>
          <w:b w:val="0"/>
          <w:i w:val="0"/>
          <w:sz w:val="24"/>
          <w:u w:val="none"/>
        </w:rPr>
        <w:t>6.1. Сменный обслуживающий персонал (дежурные аппаратчики) и ответственные ИТР, виновные в создании аварийной ситуации или непринятии мер по её ликвидации, несут материальную, административную или уголовную ответственность в зависимости от тяжести последствий в соответствии с законодательством Российской Федерации.</w:t>
      </w:r>
    </w:p>
    <w:p>
      <w:pPr>
        <w:spacing w:before="0" w:after="0"/>
      </w:pPr>
    </w:p>
    <w:p>
      <w:pPr>
        <w:spacing w:before="0" w:after="0"/>
      </w:pPr>
    </w:p>
    <w:p>
      <w:pPr>
        <w:spacing w:before="240" w:after="120"/>
        <w:jc w:val="center"/>
      </w:pPr>
      <w:r>
        <w:rPr>
          <w:rFonts w:ascii="Times New Roman" w:hAnsi="Times New Roman"/>
          <w:b/>
          <w:i w:val="0"/>
          <w:sz w:val="24"/>
          <w:u w:val="none"/>
        </w:rPr>
        <w:t>ЛИСТ ОЗНАКОМЛЕНИЯ С ИНСТРУКЦИЕЙ</w:t>
      </w:r>
    </w:p>
    <w:p>
      <w:pPr>
        <w:spacing w:before="0" w:after="0"/>
      </w:pPr>
    </w:p>
    <w:p>
      <w:pPr>
        <w:spacing w:before="40" w:after="40"/>
        <w:ind w:firstLine="709"/>
        <w:jc w:val="both"/>
      </w:pPr>
      <w:r>
        <w:rPr>
          <w:rFonts w:ascii="Times New Roman" w:hAnsi="Times New Roman"/>
          <w:b w:val="0"/>
          <w:i w:val="0"/>
          <w:sz w:val="24"/>
          <w:u w:val="none"/>
        </w:rPr>
        <w:t>С инструкцией ознакомлен(а) и обязуюсь выполнять её требования:</w:t>
      </w:r>
    </w:p>
    <w:p>
      <w:pPr>
        <w:spacing w:before="0" w:after="0"/>
      </w:pPr>
    </w:p>
    <w:tbl>
      <w:tblPr>
        <w:tblW w:type="auto" w:w="0"/>
        <w:jc w:val="center"/>
        <w:tblLook w:firstColumn="1" w:firstRow="1" w:lastColumn="0" w:lastRow="0" w:noHBand="0" w:noVBand="1" w:val="04A0"/>
      </w:tblPr>
      <w:tblGrid>
        <w:gridCol w:w="2303"/>
        <w:gridCol w:w="2303"/>
        <w:gridCol w:w="2303"/>
        <w:gridCol w:w="2303"/>
      </w:tblGrid>
      <w:tr>
        <w:tc>
          <w:tcPr>
            <w:tcW w:type="dxa" w:w="2303"/>
            <w:tcBorders>
              <w:top w:val="single" w:sz="4" w:space="0" w:color="000000"/>
              <w:left w:val="single" w:sz="4" w:space="0" w:color="000000"/>
              <w:bottom w:val="single" w:sz="4" w:space="0" w:color="000000"/>
              <w:right w:val="single" w:sz="4" w:space="0" w:color="000000"/>
            </w:tcBorders>
          </w:tcPr>
          <w:p>
            <w:pPr>
              <w:jc w:val="center"/>
            </w:pPr>
            <w:r/>
            <w:r>
              <w:rPr>
                <w:rFonts w:ascii="Times New Roman" w:hAnsi="Times New Roman"/>
                <w:b/>
                <w:i w:val="0"/>
                <w:sz w:val="24"/>
                <w:u w:val="none"/>
              </w:rPr>
              <w:t>№</w:t>
            </w:r>
          </w:p>
        </w:tc>
        <w:tc>
          <w:tcPr>
            <w:tcW w:type="dxa" w:w="2303"/>
            <w:tcBorders>
              <w:top w:val="single" w:sz="4" w:space="0" w:color="000000"/>
              <w:left w:val="single" w:sz="4" w:space="0" w:color="000000"/>
              <w:bottom w:val="single" w:sz="4" w:space="0" w:color="000000"/>
              <w:right w:val="single" w:sz="4" w:space="0" w:color="000000"/>
            </w:tcBorders>
          </w:tcPr>
          <w:p>
            <w:pPr>
              <w:jc w:val="center"/>
            </w:pPr>
            <w:r/>
            <w:r>
              <w:rPr>
                <w:rFonts w:ascii="Times New Roman" w:hAnsi="Times New Roman"/>
                <w:b/>
                <w:i w:val="0"/>
                <w:sz w:val="24"/>
                <w:u w:val="none"/>
              </w:rPr>
              <w:t>ФИО</w:t>
            </w:r>
          </w:p>
        </w:tc>
        <w:tc>
          <w:tcPr>
            <w:tcW w:type="dxa" w:w="2303"/>
            <w:tcBorders>
              <w:top w:val="single" w:sz="4" w:space="0" w:color="000000"/>
              <w:left w:val="single" w:sz="4" w:space="0" w:color="000000"/>
              <w:bottom w:val="single" w:sz="4" w:space="0" w:color="000000"/>
              <w:right w:val="single" w:sz="4" w:space="0" w:color="000000"/>
            </w:tcBorders>
          </w:tcPr>
          <w:p>
            <w:pPr>
              <w:jc w:val="center"/>
            </w:pPr>
            <w:r/>
            <w:r>
              <w:rPr>
                <w:rFonts w:ascii="Times New Roman" w:hAnsi="Times New Roman"/>
                <w:b/>
                <w:i w:val="0"/>
                <w:sz w:val="24"/>
                <w:u w:val="none"/>
              </w:rPr>
              <w:t>Подпись</w:t>
            </w:r>
          </w:p>
        </w:tc>
        <w:tc>
          <w:tcPr>
            <w:tcW w:type="dxa" w:w="2303"/>
            <w:tcBorders>
              <w:top w:val="single" w:sz="4" w:space="0" w:color="000000"/>
              <w:left w:val="single" w:sz="4" w:space="0" w:color="000000"/>
              <w:bottom w:val="single" w:sz="4" w:space="0" w:color="000000"/>
              <w:right w:val="single" w:sz="4" w:space="0" w:color="000000"/>
            </w:tcBorders>
          </w:tcPr>
          <w:p>
            <w:pPr>
              <w:jc w:val="center"/>
            </w:pPr>
            <w:r/>
            <w:r>
              <w:rPr>
                <w:rFonts w:ascii="Times New Roman" w:hAnsi="Times New Roman"/>
                <w:b/>
                <w:i w:val="0"/>
                <w:sz w:val="24"/>
                <w:u w:val="none"/>
              </w:rPr>
              <w:t>Дата</w:t>
            </w:r>
          </w:p>
        </w:tc>
      </w:tr>
      <w:tr>
        <w:tc>
          <w:tcPr>
            <w:tcW w:type="dxa" w:w="2303"/>
            <w:tcBorders>
              <w:top w:val="single" w:sz="4" w:space="0" w:color="000000"/>
              <w:left w:val="single" w:sz="4" w:space="0" w:color="000000"/>
              <w:bottom w:val="single" w:sz="4" w:space="0" w:color="000000"/>
              <w:right w:val="single" w:sz="4" w:space="0" w:color="000000"/>
            </w:tcBorders>
          </w:tcPr>
          <w:p>
            <w:pPr>
              <w:jc w:val="center"/>
            </w:pPr>
            <w:r>
              <w:rPr>
                <w:rFonts w:ascii="Times New Roman" w:hAnsi="Times New Roman"/>
                <w:b w:val="0"/>
                <w:i w:val="0"/>
                <w:sz w:val="24"/>
                <w:u w:val="none"/>
              </w:rPr>
              <w:t>1</w:t>
            </w: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r>
      <w:tr>
        <w:tc>
          <w:tcPr>
            <w:tcW w:type="dxa" w:w="2303"/>
            <w:tcBorders>
              <w:top w:val="single" w:sz="4" w:space="0" w:color="000000"/>
              <w:left w:val="single" w:sz="4" w:space="0" w:color="000000"/>
              <w:bottom w:val="single" w:sz="4" w:space="0" w:color="000000"/>
              <w:right w:val="single" w:sz="4" w:space="0" w:color="000000"/>
            </w:tcBorders>
          </w:tcPr>
          <w:p>
            <w:pPr>
              <w:jc w:val="center"/>
            </w:pPr>
            <w:r>
              <w:rPr>
                <w:rFonts w:ascii="Times New Roman" w:hAnsi="Times New Roman"/>
                <w:b w:val="0"/>
                <w:i w:val="0"/>
                <w:sz w:val="24"/>
                <w:u w:val="none"/>
              </w:rPr>
              <w:t>2</w:t>
            </w: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r>
      <w:tr>
        <w:tc>
          <w:tcPr>
            <w:tcW w:type="dxa" w:w="2303"/>
            <w:tcBorders>
              <w:top w:val="single" w:sz="4" w:space="0" w:color="000000"/>
              <w:left w:val="single" w:sz="4" w:space="0" w:color="000000"/>
              <w:bottom w:val="single" w:sz="4" w:space="0" w:color="000000"/>
              <w:right w:val="single" w:sz="4" w:space="0" w:color="000000"/>
            </w:tcBorders>
          </w:tcPr>
          <w:p>
            <w:pPr>
              <w:jc w:val="center"/>
            </w:pPr>
            <w:r>
              <w:rPr>
                <w:rFonts w:ascii="Times New Roman" w:hAnsi="Times New Roman"/>
                <w:b w:val="0"/>
                <w:i w:val="0"/>
                <w:sz w:val="24"/>
                <w:u w:val="none"/>
              </w:rPr>
              <w:t>3</w:t>
            </w: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r>
      <w:tr>
        <w:tc>
          <w:tcPr>
            <w:tcW w:type="dxa" w:w="2303"/>
            <w:tcBorders>
              <w:top w:val="single" w:sz="4" w:space="0" w:color="000000"/>
              <w:left w:val="single" w:sz="4" w:space="0" w:color="000000"/>
              <w:bottom w:val="single" w:sz="4" w:space="0" w:color="000000"/>
              <w:right w:val="single" w:sz="4" w:space="0" w:color="000000"/>
            </w:tcBorders>
          </w:tcPr>
          <w:p>
            <w:pPr>
              <w:jc w:val="center"/>
            </w:pPr>
            <w:r>
              <w:rPr>
                <w:rFonts w:ascii="Times New Roman" w:hAnsi="Times New Roman"/>
                <w:b w:val="0"/>
                <w:i w:val="0"/>
                <w:sz w:val="24"/>
                <w:u w:val="none"/>
              </w:rPr>
              <w:t>4</w:t>
            </w: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r>
      <w:tr>
        <w:tc>
          <w:tcPr>
            <w:tcW w:type="dxa" w:w="2303"/>
            <w:tcBorders>
              <w:top w:val="single" w:sz="4" w:space="0" w:color="000000"/>
              <w:left w:val="single" w:sz="4" w:space="0" w:color="000000"/>
              <w:bottom w:val="single" w:sz="4" w:space="0" w:color="000000"/>
              <w:right w:val="single" w:sz="4" w:space="0" w:color="000000"/>
            </w:tcBorders>
          </w:tcPr>
          <w:p>
            <w:pPr>
              <w:jc w:val="center"/>
            </w:pPr>
            <w:r>
              <w:rPr>
                <w:rFonts w:ascii="Times New Roman" w:hAnsi="Times New Roman"/>
                <w:b w:val="0"/>
                <w:i w:val="0"/>
                <w:sz w:val="24"/>
                <w:u w:val="none"/>
              </w:rPr>
              <w:t>5</w:t>
            </w: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r>
      <w:tr>
        <w:tc>
          <w:tcPr>
            <w:tcW w:type="dxa" w:w="2303"/>
            <w:tcBorders>
              <w:top w:val="single" w:sz="4" w:space="0" w:color="000000"/>
              <w:left w:val="single" w:sz="4" w:space="0" w:color="000000"/>
              <w:bottom w:val="single" w:sz="4" w:space="0" w:color="000000"/>
              <w:right w:val="single" w:sz="4" w:space="0" w:color="000000"/>
            </w:tcBorders>
          </w:tcPr>
          <w:p>
            <w:pPr>
              <w:jc w:val="center"/>
            </w:pPr>
            <w:r>
              <w:rPr>
                <w:rFonts w:ascii="Times New Roman" w:hAnsi="Times New Roman"/>
                <w:b w:val="0"/>
                <w:i w:val="0"/>
                <w:sz w:val="24"/>
                <w:u w:val="none"/>
              </w:rPr>
              <w:t>6</w:t>
            </w: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r>
      <w:tr>
        <w:tc>
          <w:tcPr>
            <w:tcW w:type="dxa" w:w="2303"/>
            <w:tcBorders>
              <w:top w:val="single" w:sz="4" w:space="0" w:color="000000"/>
              <w:left w:val="single" w:sz="4" w:space="0" w:color="000000"/>
              <w:bottom w:val="single" w:sz="4" w:space="0" w:color="000000"/>
              <w:right w:val="single" w:sz="4" w:space="0" w:color="000000"/>
            </w:tcBorders>
          </w:tcPr>
          <w:p>
            <w:pPr>
              <w:jc w:val="center"/>
            </w:pPr>
            <w:r>
              <w:rPr>
                <w:rFonts w:ascii="Times New Roman" w:hAnsi="Times New Roman"/>
                <w:b w:val="0"/>
                <w:i w:val="0"/>
                <w:sz w:val="24"/>
                <w:u w:val="none"/>
              </w:rPr>
              <w:t>7</w:t>
            </w: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c>
          <w:tcPr>
            <w:tcW w:type="dxa" w:w="2303"/>
            <w:tcBorders>
              <w:top w:val="single" w:sz="4" w:space="0" w:color="000000"/>
              <w:left w:val="single" w:sz="4" w:space="0" w:color="000000"/>
              <w:bottom w:val="single" w:sz="4" w:space="0" w:color="000000"/>
              <w:right w:val="single" w:sz="4" w:space="0" w:color="000000"/>
            </w:tcBorders>
          </w:tcPr>
          <w:p/>
        </w:tc>
      </w:tr>
    </w:tbl>
    <w:p>
      <w:pPr>
        <w:spacing w:before="0" w:after="0"/>
      </w:pPr>
    </w:p>
    <w:p>
      <w:pPr>
        <w:spacing w:before="40" w:after="40"/>
        <w:ind w:firstLine="709"/>
        <w:jc w:val="both"/>
      </w:pPr>
      <w:r>
        <w:rPr>
          <w:rFonts w:ascii="Times New Roman" w:hAnsi="Times New Roman"/>
          <w:b w:val="0"/>
          <w:i w:val="0"/>
          <w:sz w:val="24"/>
          <w:u w:val="none"/>
        </w:rPr>
        <w:t>Инструкцию пересмотреть (переиздать) не позднее: «____» ____________ 20___ г.</w:t>
      </w:r>
    </w:p>
    <w:sectPr w:rsidR="00663A3F">
      <w:headerReference w:type="default" r:id="rId7"/>
      <w:footerReference w:type="default" r:id="rId8"/>
      <w:pgSz w:w="11906" w:h="16838"/>
      <w:pgMar w:top="1701" w:right="992"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EEF84" w14:textId="77777777" w:rsidR="00F55E38" w:rsidRDefault="00F55E38">
      <w:r>
        <w:separator/>
      </w:r>
    </w:p>
  </w:endnote>
  <w:endnote w:type="continuationSeparator" w:id="0">
    <w:p w14:paraId="40F4EA36" w14:textId="77777777" w:rsidR="00F55E38" w:rsidRDefault="00F55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235E3" w14:textId="77777777" w:rsidR="00663A3F" w:rsidRDefault="00000000">
    <w:pPr>
      <w:pBdr>
        <w:top w:val="single" w:sz="4" w:space="0" w:color="333333"/>
      </w:pBdr>
      <w:jc w:val="center"/>
    </w:pPr>
    <w:r>
      <w:rPr>
        <w:color w:val="666666"/>
        <w:sz w:val="20"/>
        <w:szCs w:val="20"/>
      </w:rPr>
      <w:t xml:space="preserve">Стр. </w:t>
    </w:r>
    <w:r>
      <w:rPr>
        <w:color w:val="666666"/>
        <w:sz w:val="20"/>
        <w:szCs w:val="20"/>
      </w:rPr>
      <w:fldChar w:fldCharType="begin"/>
    </w:r>
    <w:r>
      <w:rPr>
        <w:color w:val="666666"/>
        <w:sz w:val="20"/>
        <w:szCs w:val="20"/>
      </w:rPr>
      <w:instrText>PAGE</w:instrText>
    </w:r>
    <w:r>
      <w:rPr>
        <w:color w:val="666666"/>
        <w:sz w:val="20"/>
        <w:szCs w:val="20"/>
      </w:rPr>
      <w:fldChar w:fldCharType="separate"/>
    </w:r>
    <w:r w:rsidR="008E135A">
      <w:rPr>
        <w:noProof/>
        <w:color w:val="666666"/>
        <w:sz w:val="20"/>
        <w:szCs w:val="20"/>
      </w:rPr>
      <w:t>1</w:t>
    </w:r>
    <w:r>
      <w:rPr>
        <w:color w:val="666666"/>
        <w:sz w:val="20"/>
        <w:szCs w:val="20"/>
      </w:rPr>
      <w:fldChar w:fldCharType="end"/>
    </w:r>
    <w:r>
      <w:rPr>
        <w:color w:val="666666"/>
        <w:sz w:val="20"/>
        <w:szCs w:val="20"/>
      </w:rPr>
      <w:t xml:space="preserve"> из </w:t>
    </w:r>
    <w:r>
      <w:rPr>
        <w:color w:val="666666"/>
        <w:sz w:val="20"/>
        <w:szCs w:val="20"/>
      </w:rPr>
      <w:fldChar w:fldCharType="begin"/>
    </w:r>
    <w:r>
      <w:rPr>
        <w:color w:val="666666"/>
        <w:sz w:val="20"/>
        <w:szCs w:val="20"/>
      </w:rPr>
      <w:instrText>NUMPAGES</w:instrText>
    </w:r>
    <w:r>
      <w:rPr>
        <w:color w:val="666666"/>
        <w:sz w:val="20"/>
        <w:szCs w:val="20"/>
      </w:rPr>
      <w:fldChar w:fldCharType="separate"/>
    </w:r>
    <w:r w:rsidR="008E135A">
      <w:rPr>
        <w:noProof/>
        <w:color w:val="666666"/>
        <w:sz w:val="20"/>
        <w:szCs w:val="20"/>
      </w:rPr>
      <w:t>2</w:t>
    </w:r>
    <w:r>
      <w:rPr>
        <w:color w:val="66666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92B0E" w14:textId="77777777" w:rsidR="00F55E38" w:rsidRDefault="00F55E38">
      <w:r>
        <w:separator/>
      </w:r>
    </w:p>
  </w:footnote>
  <w:footnote w:type="continuationSeparator" w:id="0">
    <w:p w14:paraId="61A4E2B2" w14:textId="77777777" w:rsidR="00F55E38" w:rsidRDefault="00F55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BC4C" w14:textId="77777777" w:rsidR="00663A3F" w:rsidRDefault="00000000">
    <w:pPr>
      <w:pBdr>
        <w:bottom w:val="single" w:sz="6" w:space="0" w:color="333333"/>
      </w:pBdr>
      <w:jc w:val="right"/>
    </w:pPr>
    <w:r>
      <w:rPr>
        <w:color w:val="666666"/>
        <w:sz w:val="20"/>
        <w:szCs w:val="20"/>
      </w:rPr>
    </w:r>
    <w:proofErr w:type="gramStart"/>
    <w:r>
      <w:rPr>
        <w:color w:val="666666"/>
        <w:sz w:val="20"/>
        <w:szCs w:val="20"/>
      </w:rPr>
    </w:r>
    <w:proofErr w:type="gramEnd"/>
    <w:r>
      <w:rPr>
        <w:color w:val="666666"/>
        <w:sz w:val="20"/>
        <w:szCs w:val="20"/>
      </w:rPr>
    </w:r>
    <w:r>
      <w:rPr>
        <w:rFonts w:ascii="Times New Roman" w:hAnsi="Times New Roman"/>
        <w:b w:val="0"/>
        <w:i w:val="0"/>
        <w:sz w:val="18"/>
        <w:u w:val="none"/>
      </w:rPr>
      <w:t>ИАС-ОПО-001  Инструкция по ликвидации аварийных ситуаций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251"/>
    <w:multiLevelType w:val="hybridMultilevel"/>
    <w:tmpl w:val="01FA17FC"/>
    <w:lvl w:ilvl="0" w:tplc="9588FF66">
      <w:start w:val="1"/>
      <w:numFmt w:val="decimal"/>
      <w:lvlText w:val="%1."/>
      <w:lvlJc w:val="left"/>
      <w:pPr>
        <w:ind w:left="720" w:hanging="360"/>
      </w:pPr>
    </w:lvl>
    <w:lvl w:ilvl="1" w:tplc="9D9E4E9E">
      <w:numFmt w:val="decimal"/>
      <w:lvlText w:val=""/>
      <w:lvlJc w:val="left"/>
    </w:lvl>
    <w:lvl w:ilvl="2" w:tplc="732E44C8">
      <w:numFmt w:val="decimal"/>
      <w:lvlText w:val=""/>
      <w:lvlJc w:val="left"/>
    </w:lvl>
    <w:lvl w:ilvl="3" w:tplc="1B60AF5C">
      <w:numFmt w:val="decimal"/>
      <w:lvlText w:val=""/>
      <w:lvlJc w:val="left"/>
    </w:lvl>
    <w:lvl w:ilvl="4" w:tplc="D344598A">
      <w:numFmt w:val="decimal"/>
      <w:lvlText w:val=""/>
      <w:lvlJc w:val="left"/>
    </w:lvl>
    <w:lvl w:ilvl="5" w:tplc="5C98B778">
      <w:numFmt w:val="decimal"/>
      <w:lvlText w:val=""/>
      <w:lvlJc w:val="left"/>
    </w:lvl>
    <w:lvl w:ilvl="6" w:tplc="295C054E">
      <w:numFmt w:val="decimal"/>
      <w:lvlText w:val=""/>
      <w:lvlJc w:val="left"/>
    </w:lvl>
    <w:lvl w:ilvl="7" w:tplc="E11A1D88">
      <w:numFmt w:val="decimal"/>
      <w:lvlText w:val=""/>
      <w:lvlJc w:val="left"/>
    </w:lvl>
    <w:lvl w:ilvl="8" w:tplc="4342A196">
      <w:numFmt w:val="decimal"/>
      <w:lvlText w:val=""/>
      <w:lvlJc w:val="left"/>
    </w:lvl>
  </w:abstractNum>
  <w:abstractNum w:abstractNumId="1" w15:restartNumberingAfterBreak="0">
    <w:nsid w:val="068D7515"/>
    <w:multiLevelType w:val="hybridMultilevel"/>
    <w:tmpl w:val="EEE8D90C"/>
    <w:lvl w:ilvl="0" w:tplc="63FC40A4">
      <w:start w:val="1"/>
      <w:numFmt w:val="bullet"/>
      <w:lvlText w:val="–"/>
      <w:lvlJc w:val="left"/>
      <w:pPr>
        <w:ind w:left="720" w:hanging="360"/>
      </w:pPr>
    </w:lvl>
    <w:lvl w:ilvl="1" w:tplc="36A0122C">
      <w:numFmt w:val="decimal"/>
      <w:lvlText w:val=""/>
      <w:lvlJc w:val="left"/>
    </w:lvl>
    <w:lvl w:ilvl="2" w:tplc="96188554">
      <w:numFmt w:val="decimal"/>
      <w:lvlText w:val=""/>
      <w:lvlJc w:val="left"/>
    </w:lvl>
    <w:lvl w:ilvl="3" w:tplc="7CE24DE6">
      <w:numFmt w:val="decimal"/>
      <w:lvlText w:val=""/>
      <w:lvlJc w:val="left"/>
    </w:lvl>
    <w:lvl w:ilvl="4" w:tplc="DA488704">
      <w:numFmt w:val="decimal"/>
      <w:lvlText w:val=""/>
      <w:lvlJc w:val="left"/>
    </w:lvl>
    <w:lvl w:ilvl="5" w:tplc="23C0D106">
      <w:numFmt w:val="decimal"/>
      <w:lvlText w:val=""/>
      <w:lvlJc w:val="left"/>
    </w:lvl>
    <w:lvl w:ilvl="6" w:tplc="6F9C548E">
      <w:numFmt w:val="decimal"/>
      <w:lvlText w:val=""/>
      <w:lvlJc w:val="left"/>
    </w:lvl>
    <w:lvl w:ilvl="7" w:tplc="57EC4D0E">
      <w:numFmt w:val="decimal"/>
      <w:lvlText w:val=""/>
      <w:lvlJc w:val="left"/>
    </w:lvl>
    <w:lvl w:ilvl="8" w:tplc="A0289688">
      <w:numFmt w:val="decimal"/>
      <w:lvlText w:val=""/>
      <w:lvlJc w:val="left"/>
    </w:lvl>
  </w:abstractNum>
  <w:abstractNum w:abstractNumId="2" w15:restartNumberingAfterBreak="0">
    <w:nsid w:val="0B520084"/>
    <w:multiLevelType w:val="hybridMultilevel"/>
    <w:tmpl w:val="0A1A0476"/>
    <w:lvl w:ilvl="0" w:tplc="91EC7218">
      <w:start w:val="1"/>
      <w:numFmt w:val="decimal"/>
      <w:lvlText w:val="%1."/>
      <w:lvlJc w:val="left"/>
      <w:pPr>
        <w:ind w:left="720" w:hanging="360"/>
      </w:pPr>
    </w:lvl>
    <w:lvl w:ilvl="1" w:tplc="63E26CB2">
      <w:numFmt w:val="decimal"/>
      <w:lvlText w:val=""/>
      <w:lvlJc w:val="left"/>
    </w:lvl>
    <w:lvl w:ilvl="2" w:tplc="570865F0">
      <w:numFmt w:val="decimal"/>
      <w:lvlText w:val=""/>
      <w:lvlJc w:val="left"/>
    </w:lvl>
    <w:lvl w:ilvl="3" w:tplc="07D608B2">
      <w:numFmt w:val="decimal"/>
      <w:lvlText w:val=""/>
      <w:lvlJc w:val="left"/>
    </w:lvl>
    <w:lvl w:ilvl="4" w:tplc="CF3CCE94">
      <w:numFmt w:val="decimal"/>
      <w:lvlText w:val=""/>
      <w:lvlJc w:val="left"/>
    </w:lvl>
    <w:lvl w:ilvl="5" w:tplc="9A9E05A4">
      <w:numFmt w:val="decimal"/>
      <w:lvlText w:val=""/>
      <w:lvlJc w:val="left"/>
    </w:lvl>
    <w:lvl w:ilvl="6" w:tplc="D8583F4E">
      <w:numFmt w:val="decimal"/>
      <w:lvlText w:val=""/>
      <w:lvlJc w:val="left"/>
    </w:lvl>
    <w:lvl w:ilvl="7" w:tplc="0E0EA242">
      <w:numFmt w:val="decimal"/>
      <w:lvlText w:val=""/>
      <w:lvlJc w:val="left"/>
    </w:lvl>
    <w:lvl w:ilvl="8" w:tplc="46546372">
      <w:numFmt w:val="decimal"/>
      <w:lvlText w:val=""/>
      <w:lvlJc w:val="left"/>
    </w:lvl>
  </w:abstractNum>
  <w:abstractNum w:abstractNumId="3" w15:restartNumberingAfterBreak="0">
    <w:nsid w:val="2A651889"/>
    <w:multiLevelType w:val="hybridMultilevel"/>
    <w:tmpl w:val="0D4A4906"/>
    <w:lvl w:ilvl="0" w:tplc="C0FC070A">
      <w:start w:val="1"/>
      <w:numFmt w:val="decimal"/>
      <w:lvlText w:val="%1."/>
      <w:lvlJc w:val="left"/>
      <w:pPr>
        <w:ind w:left="720" w:hanging="360"/>
      </w:pPr>
    </w:lvl>
    <w:lvl w:ilvl="1" w:tplc="7CCAE1CA">
      <w:numFmt w:val="decimal"/>
      <w:lvlText w:val=""/>
      <w:lvlJc w:val="left"/>
    </w:lvl>
    <w:lvl w:ilvl="2" w:tplc="B3A2F23C">
      <w:numFmt w:val="decimal"/>
      <w:lvlText w:val=""/>
      <w:lvlJc w:val="left"/>
    </w:lvl>
    <w:lvl w:ilvl="3" w:tplc="A588F4CE">
      <w:numFmt w:val="decimal"/>
      <w:lvlText w:val=""/>
      <w:lvlJc w:val="left"/>
    </w:lvl>
    <w:lvl w:ilvl="4" w:tplc="42CA9CF8">
      <w:numFmt w:val="decimal"/>
      <w:lvlText w:val=""/>
      <w:lvlJc w:val="left"/>
    </w:lvl>
    <w:lvl w:ilvl="5" w:tplc="522E004A">
      <w:numFmt w:val="decimal"/>
      <w:lvlText w:val=""/>
      <w:lvlJc w:val="left"/>
    </w:lvl>
    <w:lvl w:ilvl="6" w:tplc="7F2090D8">
      <w:numFmt w:val="decimal"/>
      <w:lvlText w:val=""/>
      <w:lvlJc w:val="left"/>
    </w:lvl>
    <w:lvl w:ilvl="7" w:tplc="13F624F4">
      <w:numFmt w:val="decimal"/>
      <w:lvlText w:val=""/>
      <w:lvlJc w:val="left"/>
    </w:lvl>
    <w:lvl w:ilvl="8" w:tplc="F9002F06">
      <w:numFmt w:val="decimal"/>
      <w:lvlText w:val=""/>
      <w:lvlJc w:val="left"/>
    </w:lvl>
  </w:abstractNum>
  <w:abstractNum w:abstractNumId="4" w15:restartNumberingAfterBreak="0">
    <w:nsid w:val="3B2373B6"/>
    <w:multiLevelType w:val="hybridMultilevel"/>
    <w:tmpl w:val="A682358E"/>
    <w:lvl w:ilvl="0" w:tplc="DE84F1CA">
      <w:start w:val="1"/>
      <w:numFmt w:val="decimal"/>
      <w:lvlText w:val="%1."/>
      <w:lvlJc w:val="left"/>
      <w:pPr>
        <w:ind w:left="720" w:hanging="360"/>
      </w:pPr>
    </w:lvl>
    <w:lvl w:ilvl="1" w:tplc="57D2A386">
      <w:numFmt w:val="decimal"/>
      <w:lvlText w:val=""/>
      <w:lvlJc w:val="left"/>
    </w:lvl>
    <w:lvl w:ilvl="2" w:tplc="FCC2243E">
      <w:numFmt w:val="decimal"/>
      <w:lvlText w:val=""/>
      <w:lvlJc w:val="left"/>
    </w:lvl>
    <w:lvl w:ilvl="3" w:tplc="BF14065E">
      <w:numFmt w:val="decimal"/>
      <w:lvlText w:val=""/>
      <w:lvlJc w:val="left"/>
    </w:lvl>
    <w:lvl w:ilvl="4" w:tplc="938CDD5C">
      <w:numFmt w:val="decimal"/>
      <w:lvlText w:val=""/>
      <w:lvlJc w:val="left"/>
    </w:lvl>
    <w:lvl w:ilvl="5" w:tplc="AAA046F4">
      <w:numFmt w:val="decimal"/>
      <w:lvlText w:val=""/>
      <w:lvlJc w:val="left"/>
    </w:lvl>
    <w:lvl w:ilvl="6" w:tplc="6EF08D7E">
      <w:numFmt w:val="decimal"/>
      <w:lvlText w:val=""/>
      <w:lvlJc w:val="left"/>
    </w:lvl>
    <w:lvl w:ilvl="7" w:tplc="BD028BB8">
      <w:numFmt w:val="decimal"/>
      <w:lvlText w:val=""/>
      <w:lvlJc w:val="left"/>
    </w:lvl>
    <w:lvl w:ilvl="8" w:tplc="8794D3BA">
      <w:numFmt w:val="decimal"/>
      <w:lvlText w:val=""/>
      <w:lvlJc w:val="left"/>
    </w:lvl>
  </w:abstractNum>
  <w:abstractNum w:abstractNumId="5" w15:restartNumberingAfterBreak="0">
    <w:nsid w:val="417574D8"/>
    <w:multiLevelType w:val="hybridMultilevel"/>
    <w:tmpl w:val="B604345E"/>
    <w:lvl w:ilvl="0" w:tplc="7D280DBA">
      <w:start w:val="1"/>
      <w:numFmt w:val="decimal"/>
      <w:lvlText w:val="%1."/>
      <w:lvlJc w:val="left"/>
      <w:pPr>
        <w:ind w:left="720" w:hanging="360"/>
      </w:pPr>
    </w:lvl>
    <w:lvl w:ilvl="1" w:tplc="1CCAF618">
      <w:numFmt w:val="decimal"/>
      <w:lvlText w:val=""/>
      <w:lvlJc w:val="left"/>
    </w:lvl>
    <w:lvl w:ilvl="2" w:tplc="78F0336C">
      <w:numFmt w:val="decimal"/>
      <w:lvlText w:val=""/>
      <w:lvlJc w:val="left"/>
    </w:lvl>
    <w:lvl w:ilvl="3" w:tplc="30745300">
      <w:numFmt w:val="decimal"/>
      <w:lvlText w:val=""/>
      <w:lvlJc w:val="left"/>
    </w:lvl>
    <w:lvl w:ilvl="4" w:tplc="9E885142">
      <w:numFmt w:val="decimal"/>
      <w:lvlText w:val=""/>
      <w:lvlJc w:val="left"/>
    </w:lvl>
    <w:lvl w:ilvl="5" w:tplc="DEC27292">
      <w:numFmt w:val="decimal"/>
      <w:lvlText w:val=""/>
      <w:lvlJc w:val="left"/>
    </w:lvl>
    <w:lvl w:ilvl="6" w:tplc="DB2248B0">
      <w:numFmt w:val="decimal"/>
      <w:lvlText w:val=""/>
      <w:lvlJc w:val="left"/>
    </w:lvl>
    <w:lvl w:ilvl="7" w:tplc="E15C2A58">
      <w:numFmt w:val="decimal"/>
      <w:lvlText w:val=""/>
      <w:lvlJc w:val="left"/>
    </w:lvl>
    <w:lvl w:ilvl="8" w:tplc="DB46B71E">
      <w:numFmt w:val="decimal"/>
      <w:lvlText w:val=""/>
      <w:lvlJc w:val="left"/>
    </w:lvl>
  </w:abstractNum>
  <w:abstractNum w:abstractNumId="6" w15:restartNumberingAfterBreak="0">
    <w:nsid w:val="46D52C18"/>
    <w:multiLevelType w:val="hybridMultilevel"/>
    <w:tmpl w:val="8F44C1D2"/>
    <w:lvl w:ilvl="0" w:tplc="1B5E6138">
      <w:start w:val="1"/>
      <w:numFmt w:val="decimal"/>
      <w:lvlText w:val="%1."/>
      <w:lvlJc w:val="left"/>
      <w:pPr>
        <w:ind w:left="720" w:hanging="360"/>
      </w:pPr>
    </w:lvl>
    <w:lvl w:ilvl="1" w:tplc="094CF026">
      <w:numFmt w:val="decimal"/>
      <w:lvlText w:val=""/>
      <w:lvlJc w:val="left"/>
    </w:lvl>
    <w:lvl w:ilvl="2" w:tplc="661CBDC6">
      <w:numFmt w:val="decimal"/>
      <w:lvlText w:val=""/>
      <w:lvlJc w:val="left"/>
    </w:lvl>
    <w:lvl w:ilvl="3" w:tplc="D152B77E">
      <w:numFmt w:val="decimal"/>
      <w:lvlText w:val=""/>
      <w:lvlJc w:val="left"/>
    </w:lvl>
    <w:lvl w:ilvl="4" w:tplc="E1DE9BFA">
      <w:numFmt w:val="decimal"/>
      <w:lvlText w:val=""/>
      <w:lvlJc w:val="left"/>
    </w:lvl>
    <w:lvl w:ilvl="5" w:tplc="6ABC36FA">
      <w:numFmt w:val="decimal"/>
      <w:lvlText w:val=""/>
      <w:lvlJc w:val="left"/>
    </w:lvl>
    <w:lvl w:ilvl="6" w:tplc="7054BFCE">
      <w:numFmt w:val="decimal"/>
      <w:lvlText w:val=""/>
      <w:lvlJc w:val="left"/>
    </w:lvl>
    <w:lvl w:ilvl="7" w:tplc="C7660E7A">
      <w:numFmt w:val="decimal"/>
      <w:lvlText w:val=""/>
      <w:lvlJc w:val="left"/>
    </w:lvl>
    <w:lvl w:ilvl="8" w:tplc="CC3C9530">
      <w:numFmt w:val="decimal"/>
      <w:lvlText w:val=""/>
      <w:lvlJc w:val="left"/>
    </w:lvl>
  </w:abstractNum>
  <w:abstractNum w:abstractNumId="7" w15:restartNumberingAfterBreak="0">
    <w:nsid w:val="59781EDD"/>
    <w:multiLevelType w:val="hybridMultilevel"/>
    <w:tmpl w:val="8424FC74"/>
    <w:lvl w:ilvl="0" w:tplc="8C228300">
      <w:start w:val="1"/>
      <w:numFmt w:val="decimal"/>
      <w:lvlText w:val="%1."/>
      <w:lvlJc w:val="left"/>
      <w:pPr>
        <w:ind w:left="720" w:hanging="360"/>
      </w:pPr>
    </w:lvl>
    <w:lvl w:ilvl="1" w:tplc="0D32A60A">
      <w:numFmt w:val="decimal"/>
      <w:lvlText w:val=""/>
      <w:lvlJc w:val="left"/>
    </w:lvl>
    <w:lvl w:ilvl="2" w:tplc="4866F4A6">
      <w:numFmt w:val="decimal"/>
      <w:lvlText w:val=""/>
      <w:lvlJc w:val="left"/>
    </w:lvl>
    <w:lvl w:ilvl="3" w:tplc="2B50F2CA">
      <w:numFmt w:val="decimal"/>
      <w:lvlText w:val=""/>
      <w:lvlJc w:val="left"/>
    </w:lvl>
    <w:lvl w:ilvl="4" w:tplc="F8BC0404">
      <w:numFmt w:val="decimal"/>
      <w:lvlText w:val=""/>
      <w:lvlJc w:val="left"/>
    </w:lvl>
    <w:lvl w:ilvl="5" w:tplc="83689DE4">
      <w:numFmt w:val="decimal"/>
      <w:lvlText w:val=""/>
      <w:lvlJc w:val="left"/>
    </w:lvl>
    <w:lvl w:ilvl="6" w:tplc="C7F4732A">
      <w:numFmt w:val="decimal"/>
      <w:lvlText w:val=""/>
      <w:lvlJc w:val="left"/>
    </w:lvl>
    <w:lvl w:ilvl="7" w:tplc="90AC8BD6">
      <w:numFmt w:val="decimal"/>
      <w:lvlText w:val=""/>
      <w:lvlJc w:val="left"/>
    </w:lvl>
    <w:lvl w:ilvl="8" w:tplc="13BC9432">
      <w:numFmt w:val="decimal"/>
      <w:lvlText w:val=""/>
      <w:lvlJc w:val="left"/>
    </w:lvl>
  </w:abstractNum>
  <w:abstractNum w:abstractNumId="8" w15:restartNumberingAfterBreak="0">
    <w:nsid w:val="5CDA6E12"/>
    <w:multiLevelType w:val="hybridMultilevel"/>
    <w:tmpl w:val="D04C9140"/>
    <w:lvl w:ilvl="0" w:tplc="DF7E8BC6">
      <w:start w:val="1"/>
      <w:numFmt w:val="decimal"/>
      <w:lvlText w:val="%1."/>
      <w:lvlJc w:val="left"/>
      <w:pPr>
        <w:ind w:left="720" w:hanging="360"/>
      </w:pPr>
    </w:lvl>
    <w:lvl w:ilvl="1" w:tplc="97B47F78">
      <w:numFmt w:val="decimal"/>
      <w:lvlText w:val=""/>
      <w:lvlJc w:val="left"/>
    </w:lvl>
    <w:lvl w:ilvl="2" w:tplc="C52A7C38">
      <w:numFmt w:val="decimal"/>
      <w:lvlText w:val=""/>
      <w:lvlJc w:val="left"/>
    </w:lvl>
    <w:lvl w:ilvl="3" w:tplc="D0DAFB2C">
      <w:numFmt w:val="decimal"/>
      <w:lvlText w:val=""/>
      <w:lvlJc w:val="left"/>
    </w:lvl>
    <w:lvl w:ilvl="4" w:tplc="617A10E4">
      <w:numFmt w:val="decimal"/>
      <w:lvlText w:val=""/>
      <w:lvlJc w:val="left"/>
    </w:lvl>
    <w:lvl w:ilvl="5" w:tplc="76041A7C">
      <w:numFmt w:val="decimal"/>
      <w:lvlText w:val=""/>
      <w:lvlJc w:val="left"/>
    </w:lvl>
    <w:lvl w:ilvl="6" w:tplc="682CC384">
      <w:numFmt w:val="decimal"/>
      <w:lvlText w:val=""/>
      <w:lvlJc w:val="left"/>
    </w:lvl>
    <w:lvl w:ilvl="7" w:tplc="546036C0">
      <w:numFmt w:val="decimal"/>
      <w:lvlText w:val=""/>
      <w:lvlJc w:val="left"/>
    </w:lvl>
    <w:lvl w:ilvl="8" w:tplc="B5A61EAC">
      <w:numFmt w:val="decimal"/>
      <w:lvlText w:val=""/>
      <w:lvlJc w:val="left"/>
    </w:lvl>
  </w:abstractNum>
  <w:abstractNum w:abstractNumId="9" w15:restartNumberingAfterBreak="0">
    <w:nsid w:val="6BB55559"/>
    <w:multiLevelType w:val="hybridMultilevel"/>
    <w:tmpl w:val="E34A22B4"/>
    <w:lvl w:ilvl="0" w:tplc="CA0CC998">
      <w:start w:val="1"/>
      <w:numFmt w:val="decimal"/>
      <w:lvlText w:val="%1."/>
      <w:lvlJc w:val="left"/>
      <w:pPr>
        <w:ind w:left="720" w:hanging="360"/>
      </w:pPr>
    </w:lvl>
    <w:lvl w:ilvl="1" w:tplc="83DAA39A">
      <w:numFmt w:val="decimal"/>
      <w:lvlText w:val=""/>
      <w:lvlJc w:val="left"/>
    </w:lvl>
    <w:lvl w:ilvl="2" w:tplc="FE92BAE2">
      <w:numFmt w:val="decimal"/>
      <w:lvlText w:val=""/>
      <w:lvlJc w:val="left"/>
    </w:lvl>
    <w:lvl w:ilvl="3" w:tplc="27A43686">
      <w:numFmt w:val="decimal"/>
      <w:lvlText w:val=""/>
      <w:lvlJc w:val="left"/>
    </w:lvl>
    <w:lvl w:ilvl="4" w:tplc="02F6F0C8">
      <w:numFmt w:val="decimal"/>
      <w:lvlText w:val=""/>
      <w:lvlJc w:val="left"/>
    </w:lvl>
    <w:lvl w:ilvl="5" w:tplc="BF465544">
      <w:numFmt w:val="decimal"/>
      <w:lvlText w:val=""/>
      <w:lvlJc w:val="left"/>
    </w:lvl>
    <w:lvl w:ilvl="6" w:tplc="AB8CA664">
      <w:numFmt w:val="decimal"/>
      <w:lvlText w:val=""/>
      <w:lvlJc w:val="left"/>
    </w:lvl>
    <w:lvl w:ilvl="7" w:tplc="CE02C6A4">
      <w:numFmt w:val="decimal"/>
      <w:lvlText w:val=""/>
      <w:lvlJc w:val="left"/>
    </w:lvl>
    <w:lvl w:ilvl="8" w:tplc="FB7EB9BA">
      <w:numFmt w:val="decimal"/>
      <w:lvlText w:val=""/>
      <w:lvlJc w:val="left"/>
    </w:lvl>
  </w:abstractNum>
  <w:abstractNum w:abstractNumId="10" w15:restartNumberingAfterBreak="0">
    <w:nsid w:val="6E8A6A5E"/>
    <w:multiLevelType w:val="hybridMultilevel"/>
    <w:tmpl w:val="D84EE84E"/>
    <w:lvl w:ilvl="0" w:tplc="8E4ED7DE">
      <w:start w:val="1"/>
      <w:numFmt w:val="decimal"/>
      <w:lvlText w:val="%1."/>
      <w:lvlJc w:val="left"/>
      <w:pPr>
        <w:ind w:left="720" w:hanging="360"/>
      </w:pPr>
    </w:lvl>
    <w:lvl w:ilvl="1" w:tplc="FEACD696">
      <w:numFmt w:val="decimal"/>
      <w:lvlText w:val=""/>
      <w:lvlJc w:val="left"/>
    </w:lvl>
    <w:lvl w:ilvl="2" w:tplc="F8043588">
      <w:numFmt w:val="decimal"/>
      <w:lvlText w:val=""/>
      <w:lvlJc w:val="left"/>
    </w:lvl>
    <w:lvl w:ilvl="3" w:tplc="19D2FBBE">
      <w:numFmt w:val="decimal"/>
      <w:lvlText w:val=""/>
      <w:lvlJc w:val="left"/>
    </w:lvl>
    <w:lvl w:ilvl="4" w:tplc="3FE22BB6">
      <w:numFmt w:val="decimal"/>
      <w:lvlText w:val=""/>
      <w:lvlJc w:val="left"/>
    </w:lvl>
    <w:lvl w:ilvl="5" w:tplc="6BF63620">
      <w:numFmt w:val="decimal"/>
      <w:lvlText w:val=""/>
      <w:lvlJc w:val="left"/>
    </w:lvl>
    <w:lvl w:ilvl="6" w:tplc="F098C0EE">
      <w:numFmt w:val="decimal"/>
      <w:lvlText w:val=""/>
      <w:lvlJc w:val="left"/>
    </w:lvl>
    <w:lvl w:ilvl="7" w:tplc="0B2E2DB2">
      <w:numFmt w:val="decimal"/>
      <w:lvlText w:val=""/>
      <w:lvlJc w:val="left"/>
    </w:lvl>
    <w:lvl w:ilvl="8" w:tplc="890C2E5A">
      <w:numFmt w:val="decimal"/>
      <w:lvlText w:val=""/>
      <w:lvlJc w:val="left"/>
    </w:lvl>
  </w:abstractNum>
  <w:abstractNum w:abstractNumId="11" w15:restartNumberingAfterBreak="0">
    <w:nsid w:val="6F590BB1"/>
    <w:multiLevelType w:val="hybridMultilevel"/>
    <w:tmpl w:val="8E9C5832"/>
    <w:lvl w:ilvl="0" w:tplc="0CFC674C">
      <w:start w:val="1"/>
      <w:numFmt w:val="bullet"/>
      <w:lvlText w:val="●"/>
      <w:lvlJc w:val="left"/>
      <w:pPr>
        <w:ind w:left="720" w:hanging="360"/>
      </w:pPr>
    </w:lvl>
    <w:lvl w:ilvl="1" w:tplc="6FA20E06">
      <w:start w:val="1"/>
      <w:numFmt w:val="bullet"/>
      <w:lvlText w:val="○"/>
      <w:lvlJc w:val="left"/>
      <w:pPr>
        <w:ind w:left="1440" w:hanging="360"/>
      </w:pPr>
    </w:lvl>
    <w:lvl w:ilvl="2" w:tplc="7E9488E4">
      <w:start w:val="1"/>
      <w:numFmt w:val="bullet"/>
      <w:lvlText w:val="■"/>
      <w:lvlJc w:val="left"/>
      <w:pPr>
        <w:ind w:left="2160" w:hanging="360"/>
      </w:pPr>
    </w:lvl>
    <w:lvl w:ilvl="3" w:tplc="0E5A0D78">
      <w:start w:val="1"/>
      <w:numFmt w:val="bullet"/>
      <w:lvlText w:val="●"/>
      <w:lvlJc w:val="left"/>
      <w:pPr>
        <w:ind w:left="2880" w:hanging="360"/>
      </w:pPr>
    </w:lvl>
    <w:lvl w:ilvl="4" w:tplc="F42CFA4E">
      <w:start w:val="1"/>
      <w:numFmt w:val="bullet"/>
      <w:lvlText w:val="○"/>
      <w:lvlJc w:val="left"/>
      <w:pPr>
        <w:ind w:left="3600" w:hanging="360"/>
      </w:pPr>
    </w:lvl>
    <w:lvl w:ilvl="5" w:tplc="4B70625A">
      <w:start w:val="1"/>
      <w:numFmt w:val="bullet"/>
      <w:lvlText w:val="■"/>
      <w:lvlJc w:val="left"/>
      <w:pPr>
        <w:ind w:left="4320" w:hanging="360"/>
      </w:pPr>
    </w:lvl>
    <w:lvl w:ilvl="6" w:tplc="A9D4B56A">
      <w:start w:val="1"/>
      <w:numFmt w:val="bullet"/>
      <w:lvlText w:val="●"/>
      <w:lvlJc w:val="left"/>
      <w:pPr>
        <w:ind w:left="5040" w:hanging="360"/>
      </w:pPr>
    </w:lvl>
    <w:lvl w:ilvl="7" w:tplc="464C4152">
      <w:start w:val="1"/>
      <w:numFmt w:val="bullet"/>
      <w:lvlText w:val="●"/>
      <w:lvlJc w:val="left"/>
      <w:pPr>
        <w:ind w:left="5760" w:hanging="360"/>
      </w:pPr>
    </w:lvl>
    <w:lvl w:ilvl="8" w:tplc="618CD3E6">
      <w:start w:val="1"/>
      <w:numFmt w:val="bullet"/>
      <w:lvlText w:val="●"/>
      <w:lvlJc w:val="left"/>
      <w:pPr>
        <w:ind w:left="6480" w:hanging="360"/>
      </w:pPr>
    </w:lvl>
  </w:abstractNum>
  <w:abstractNum w:abstractNumId="12" w15:restartNumberingAfterBreak="0">
    <w:nsid w:val="7447161A"/>
    <w:multiLevelType w:val="hybridMultilevel"/>
    <w:tmpl w:val="2454213E"/>
    <w:lvl w:ilvl="0" w:tplc="A5B8EC02">
      <w:start w:val="1"/>
      <w:numFmt w:val="decimal"/>
      <w:lvlText w:val="%1."/>
      <w:lvlJc w:val="left"/>
      <w:pPr>
        <w:ind w:left="720" w:hanging="360"/>
      </w:pPr>
    </w:lvl>
    <w:lvl w:ilvl="1" w:tplc="993E8AAE">
      <w:numFmt w:val="decimal"/>
      <w:lvlText w:val=""/>
      <w:lvlJc w:val="left"/>
    </w:lvl>
    <w:lvl w:ilvl="2" w:tplc="CDF8508A">
      <w:numFmt w:val="decimal"/>
      <w:lvlText w:val=""/>
      <w:lvlJc w:val="left"/>
    </w:lvl>
    <w:lvl w:ilvl="3" w:tplc="158C2334">
      <w:numFmt w:val="decimal"/>
      <w:lvlText w:val=""/>
      <w:lvlJc w:val="left"/>
    </w:lvl>
    <w:lvl w:ilvl="4" w:tplc="CC68704C">
      <w:numFmt w:val="decimal"/>
      <w:lvlText w:val=""/>
      <w:lvlJc w:val="left"/>
    </w:lvl>
    <w:lvl w:ilvl="5" w:tplc="B498DC62">
      <w:numFmt w:val="decimal"/>
      <w:lvlText w:val=""/>
      <w:lvlJc w:val="left"/>
    </w:lvl>
    <w:lvl w:ilvl="6" w:tplc="2834B252">
      <w:numFmt w:val="decimal"/>
      <w:lvlText w:val=""/>
      <w:lvlJc w:val="left"/>
    </w:lvl>
    <w:lvl w:ilvl="7" w:tplc="6A2CA86C">
      <w:numFmt w:val="decimal"/>
      <w:lvlText w:val=""/>
      <w:lvlJc w:val="left"/>
    </w:lvl>
    <w:lvl w:ilvl="8" w:tplc="CE1699DC">
      <w:numFmt w:val="decimal"/>
      <w:lvlText w:val=""/>
      <w:lvlJc w:val="left"/>
    </w:lvl>
  </w:abstractNum>
  <w:abstractNum w:abstractNumId="13" w15:restartNumberingAfterBreak="0">
    <w:nsid w:val="7B1117CC"/>
    <w:multiLevelType w:val="hybridMultilevel"/>
    <w:tmpl w:val="20F00B2C"/>
    <w:lvl w:ilvl="0" w:tplc="E2766A38">
      <w:start w:val="1"/>
      <w:numFmt w:val="decimal"/>
      <w:lvlText w:val="%1."/>
      <w:lvlJc w:val="left"/>
      <w:pPr>
        <w:ind w:left="720" w:hanging="360"/>
      </w:pPr>
    </w:lvl>
    <w:lvl w:ilvl="1" w:tplc="5FB8ACA8">
      <w:numFmt w:val="decimal"/>
      <w:lvlText w:val=""/>
      <w:lvlJc w:val="left"/>
    </w:lvl>
    <w:lvl w:ilvl="2" w:tplc="5D10B626">
      <w:numFmt w:val="decimal"/>
      <w:lvlText w:val=""/>
      <w:lvlJc w:val="left"/>
    </w:lvl>
    <w:lvl w:ilvl="3" w:tplc="50149F1E">
      <w:numFmt w:val="decimal"/>
      <w:lvlText w:val=""/>
      <w:lvlJc w:val="left"/>
    </w:lvl>
    <w:lvl w:ilvl="4" w:tplc="D774081E">
      <w:numFmt w:val="decimal"/>
      <w:lvlText w:val=""/>
      <w:lvlJc w:val="left"/>
    </w:lvl>
    <w:lvl w:ilvl="5" w:tplc="C2CC9C4E">
      <w:numFmt w:val="decimal"/>
      <w:lvlText w:val=""/>
      <w:lvlJc w:val="left"/>
    </w:lvl>
    <w:lvl w:ilvl="6" w:tplc="DCE83D6C">
      <w:numFmt w:val="decimal"/>
      <w:lvlText w:val=""/>
      <w:lvlJc w:val="left"/>
    </w:lvl>
    <w:lvl w:ilvl="7" w:tplc="D88C2F90">
      <w:numFmt w:val="decimal"/>
      <w:lvlText w:val=""/>
      <w:lvlJc w:val="left"/>
    </w:lvl>
    <w:lvl w:ilvl="8" w:tplc="0BDC41B6">
      <w:numFmt w:val="decimal"/>
      <w:lvlText w:val=""/>
      <w:lvlJc w:val="left"/>
    </w:lvl>
  </w:abstractNum>
  <w:num w:numId="1" w16cid:durableId="1263491895">
    <w:abstractNumId w:val="11"/>
    <w:lvlOverride w:ilvl="0">
      <w:startOverride w:val="1"/>
    </w:lvlOverride>
  </w:num>
  <w:num w:numId="2" w16cid:durableId="629827614">
    <w:abstractNumId w:val="1"/>
    <w:lvlOverride w:ilvl="0">
      <w:startOverride w:val="1"/>
    </w:lvlOverride>
  </w:num>
  <w:num w:numId="3" w16cid:durableId="631249842">
    <w:abstractNumId w:val="7"/>
    <w:lvlOverride w:ilvl="0">
      <w:startOverride w:val="1"/>
    </w:lvlOverride>
  </w:num>
  <w:num w:numId="4" w16cid:durableId="1333724508">
    <w:abstractNumId w:val="8"/>
    <w:lvlOverride w:ilvl="0">
      <w:startOverride w:val="1"/>
    </w:lvlOverride>
  </w:num>
  <w:num w:numId="5" w16cid:durableId="2007516893">
    <w:abstractNumId w:val="5"/>
    <w:lvlOverride w:ilvl="0">
      <w:startOverride w:val="1"/>
    </w:lvlOverride>
  </w:num>
  <w:num w:numId="6" w16cid:durableId="2099326592">
    <w:abstractNumId w:val="12"/>
    <w:lvlOverride w:ilvl="0">
      <w:startOverride w:val="1"/>
    </w:lvlOverride>
  </w:num>
  <w:num w:numId="7" w16cid:durableId="681275513">
    <w:abstractNumId w:val="0"/>
    <w:lvlOverride w:ilvl="0">
      <w:startOverride w:val="1"/>
    </w:lvlOverride>
  </w:num>
  <w:num w:numId="8" w16cid:durableId="793795857">
    <w:abstractNumId w:val="4"/>
    <w:lvlOverride w:ilvl="0">
      <w:startOverride w:val="1"/>
    </w:lvlOverride>
  </w:num>
  <w:num w:numId="9" w16cid:durableId="1666128938">
    <w:abstractNumId w:val="6"/>
    <w:lvlOverride w:ilvl="0">
      <w:startOverride w:val="1"/>
    </w:lvlOverride>
  </w:num>
  <w:num w:numId="10" w16cid:durableId="308873751">
    <w:abstractNumId w:val="10"/>
    <w:lvlOverride w:ilvl="0">
      <w:startOverride w:val="1"/>
    </w:lvlOverride>
  </w:num>
  <w:num w:numId="11" w16cid:durableId="1919439357">
    <w:abstractNumId w:val="2"/>
    <w:lvlOverride w:ilvl="0">
      <w:startOverride w:val="1"/>
    </w:lvlOverride>
  </w:num>
  <w:num w:numId="12" w16cid:durableId="138108916">
    <w:abstractNumId w:val="13"/>
    <w:lvlOverride w:ilvl="0">
      <w:startOverride w:val="1"/>
    </w:lvlOverride>
  </w:num>
  <w:num w:numId="13" w16cid:durableId="1329792239">
    <w:abstractNumId w:val="3"/>
    <w:lvlOverride w:ilvl="0">
      <w:startOverride w:val="1"/>
    </w:lvlOverride>
  </w:num>
  <w:num w:numId="14" w16cid:durableId="1896114204">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A3F"/>
    <w:rsid w:val="00221C6B"/>
    <w:rsid w:val="00663A3F"/>
    <w:rsid w:val="008E135A"/>
    <w:rsid w:val="009B1125"/>
    <w:rsid w:val="00E66661"/>
    <w:rsid w:val="00F55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0920C2F"/>
  <w15:docId w15:val="{F1E65B23-3BFA-5F4F-85BD-53241552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20" w:after="200"/>
      <w:jc w:val="center"/>
      <w:outlineLvl w:val="0"/>
    </w:pPr>
    <w:rPr>
      <w:b/>
      <w:bCs/>
      <w:sz w:val="28"/>
      <w:szCs w:val="28"/>
    </w:rPr>
  </w:style>
  <w:style w:type="paragraph" w:styleId="2">
    <w:name w:val="heading 2"/>
    <w:uiPriority w:val="9"/>
    <w:unhideWhenUsed/>
    <w:qFormat/>
    <w:pPr>
      <w:spacing w:before="240" w:after="160"/>
      <w:outlineLvl w:val="1"/>
    </w:pPr>
    <w:rPr>
      <w:b/>
      <w:bCs/>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2694</Words>
  <Characters>15362</Characters>
  <Application>Microsoft Office Word</Application>
  <DocSecurity>0</DocSecurity>
  <Lines>128</Lines>
  <Paragraphs>36</Paragraphs>
  <ScaleCrop>false</ScaleCrop>
  <LinksUpToDate>false</LinksUpToDate>
  <CharactersWithSpaces>18020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terms:created xsi:type="dcterms:W3CDTF">2026-04-13T07:31:00Z</dcterms:created>
  <dcterms:modified xsi:type="dcterms:W3CDTF">2026-04-15T07:58:00Z</dcterms:modified>
  <dc:identifier/>
  <dc:language/>
  <dc:title/>
</cp:coreProperties>
</file>